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57A" w:rsidRPr="005F469B" w:rsidRDefault="005F469B" w:rsidP="006E0843">
      <w:pPr>
        <w:jc w:val="right"/>
        <w:rPr>
          <w:rFonts w:cs="Arial"/>
          <w:b/>
          <w:szCs w:val="24"/>
        </w:rPr>
      </w:pPr>
      <w:r w:rsidRPr="005F469B">
        <w:rPr>
          <w:rFonts w:cs="Arial"/>
          <w:b/>
          <w:szCs w:val="24"/>
        </w:rPr>
        <w:t xml:space="preserve"> </w:t>
      </w:r>
      <w:r w:rsidRPr="005F469B">
        <w:rPr>
          <w:rFonts w:cs="Arial"/>
          <w:b/>
          <w:szCs w:val="24"/>
        </w:rPr>
        <w:t xml:space="preserve">Appendix </w:t>
      </w:r>
      <w:r w:rsidRPr="005F469B">
        <w:rPr>
          <w:rFonts w:cs="Arial"/>
          <w:b/>
          <w:szCs w:val="24"/>
        </w:rPr>
        <w:t>'A'</w:t>
      </w:r>
    </w:p>
    <w:p w:rsidR="00D4457A" w:rsidRPr="005F469B" w:rsidRDefault="005F469B" w:rsidP="006E0843">
      <w:pPr>
        <w:jc w:val="center"/>
        <w:rPr>
          <w:rFonts w:cs="Arial"/>
          <w:b/>
          <w:szCs w:val="24"/>
        </w:rPr>
      </w:pPr>
      <w:r w:rsidRPr="005F469B">
        <w:rPr>
          <w:rFonts w:cs="Arial"/>
          <w:b/>
          <w:szCs w:val="24"/>
        </w:rPr>
        <w:t>Hameldon Community College</w:t>
      </w:r>
    </w:p>
    <w:p w:rsidR="006E0843" w:rsidRPr="005F469B" w:rsidRDefault="005F469B" w:rsidP="00D4457A">
      <w:pPr>
        <w:rPr>
          <w:rFonts w:cs="Arial"/>
          <w:szCs w:val="24"/>
        </w:rPr>
      </w:pPr>
    </w:p>
    <w:p w:rsidR="00D4457A" w:rsidRPr="005F469B" w:rsidRDefault="005F469B" w:rsidP="00D4457A">
      <w:pPr>
        <w:rPr>
          <w:rFonts w:cs="Arial"/>
          <w:b/>
          <w:szCs w:val="24"/>
        </w:rPr>
      </w:pPr>
      <w:r w:rsidRPr="005F469B">
        <w:rPr>
          <w:rFonts w:cs="Arial"/>
          <w:b/>
          <w:szCs w:val="24"/>
        </w:rPr>
        <w:t xml:space="preserve">Key Factors for Consideration </w:t>
      </w:r>
    </w:p>
    <w:p w:rsidR="00D4457A" w:rsidRPr="005F469B" w:rsidRDefault="005F469B" w:rsidP="00D4457A">
      <w:pPr>
        <w:rPr>
          <w:rFonts w:cs="Arial"/>
          <w:szCs w:val="24"/>
        </w:rPr>
      </w:pPr>
    </w:p>
    <w:p w:rsidR="003D2248" w:rsidRPr="005F469B" w:rsidRDefault="005F469B" w:rsidP="003D2248">
      <w:pPr>
        <w:rPr>
          <w:rFonts w:cs="Arial"/>
          <w:szCs w:val="24"/>
        </w:rPr>
      </w:pPr>
      <w:r w:rsidRPr="005F469B">
        <w:rPr>
          <w:rFonts w:cs="Arial"/>
          <w:szCs w:val="24"/>
        </w:rPr>
        <w:t xml:space="preserve">This appendix sets out the key factors which have been taken into consideration in relation to this proposal.  </w:t>
      </w:r>
    </w:p>
    <w:p w:rsidR="00D4457A" w:rsidRPr="005F469B" w:rsidRDefault="005F469B" w:rsidP="00D4457A">
      <w:pPr>
        <w:rPr>
          <w:rFonts w:cs="Arial"/>
          <w:szCs w:val="24"/>
        </w:rPr>
      </w:pPr>
    </w:p>
    <w:p w:rsidR="00324602" w:rsidRPr="005F469B" w:rsidRDefault="005F469B" w:rsidP="00324602">
      <w:pPr>
        <w:rPr>
          <w:rFonts w:cs="Arial"/>
          <w:szCs w:val="24"/>
        </w:rPr>
      </w:pPr>
      <w:r w:rsidRPr="005F469B">
        <w:rPr>
          <w:rFonts w:cs="Arial"/>
          <w:b/>
          <w:szCs w:val="24"/>
        </w:rPr>
        <w:t>Educational Standards</w:t>
      </w:r>
    </w:p>
    <w:p w:rsidR="00324602" w:rsidRPr="005F469B" w:rsidRDefault="005F469B" w:rsidP="00324602">
      <w:pPr>
        <w:rPr>
          <w:rFonts w:cs="Arial"/>
          <w:szCs w:val="24"/>
        </w:rPr>
      </w:pPr>
    </w:p>
    <w:p w:rsidR="00324602" w:rsidRPr="005F469B" w:rsidRDefault="005F469B" w:rsidP="00324602">
      <w:pPr>
        <w:rPr>
          <w:rFonts w:cs="Arial"/>
          <w:i/>
          <w:szCs w:val="24"/>
        </w:rPr>
      </w:pPr>
      <w:r w:rsidRPr="005F469B">
        <w:rPr>
          <w:rFonts w:cs="Arial"/>
          <w:szCs w:val="24"/>
        </w:rPr>
        <w:t xml:space="preserve">The educational standards achieved by pupils at Hameldon Community College  have been variable over the past 5 years </w:t>
      </w:r>
      <w:r w:rsidRPr="005F469B">
        <w:rPr>
          <w:rFonts w:cs="Arial"/>
          <w:szCs w:val="24"/>
        </w:rPr>
        <w:t>with standards being above the G</w:t>
      </w:r>
      <w:r w:rsidRPr="005F469B">
        <w:rPr>
          <w:rFonts w:cs="Arial"/>
          <w:szCs w:val="24"/>
        </w:rPr>
        <w:t xml:space="preserve">overnment's </w:t>
      </w:r>
      <w:r w:rsidRPr="005F469B">
        <w:rPr>
          <w:rFonts w:cs="Arial"/>
          <w:szCs w:val="24"/>
        </w:rPr>
        <w:t>f</w:t>
      </w:r>
      <w:r w:rsidRPr="005F469B">
        <w:rPr>
          <w:rFonts w:cs="Arial"/>
          <w:szCs w:val="24"/>
        </w:rPr>
        <w:t xml:space="preserve">loor </w:t>
      </w:r>
      <w:r w:rsidRPr="005F469B">
        <w:rPr>
          <w:rFonts w:cs="Arial"/>
          <w:szCs w:val="24"/>
        </w:rPr>
        <w:t>s</w:t>
      </w:r>
      <w:r w:rsidRPr="005F469B">
        <w:rPr>
          <w:rFonts w:cs="Arial"/>
          <w:szCs w:val="24"/>
        </w:rPr>
        <w:t>tandard of 40% of pupi</w:t>
      </w:r>
      <w:r w:rsidRPr="005F469B">
        <w:rPr>
          <w:rFonts w:cs="Arial"/>
          <w:szCs w:val="24"/>
        </w:rPr>
        <w:t xml:space="preserve">ls gaining 5 or more good GCSEs, </w:t>
      </w:r>
      <w:r w:rsidRPr="005F469B">
        <w:rPr>
          <w:rFonts w:cs="Arial"/>
          <w:szCs w:val="24"/>
        </w:rPr>
        <w:t>including English and mathematics</w:t>
      </w:r>
      <w:r w:rsidRPr="005F469B">
        <w:rPr>
          <w:rFonts w:cs="Arial"/>
          <w:szCs w:val="24"/>
        </w:rPr>
        <w:t xml:space="preserve"> in two of these years, namely in 2012 and 2014. In 2015</w:t>
      </w:r>
      <w:r w:rsidRPr="005F469B">
        <w:rPr>
          <w:rFonts w:cs="Arial"/>
          <w:szCs w:val="24"/>
        </w:rPr>
        <w:t>,</w:t>
      </w:r>
      <w:r w:rsidRPr="005F469B">
        <w:rPr>
          <w:rFonts w:cs="Arial"/>
          <w:szCs w:val="24"/>
        </w:rPr>
        <w:t xml:space="preserve"> 36% of pupils gained 5 or more good GCSEs</w:t>
      </w:r>
      <w:r w:rsidRPr="005F469B">
        <w:rPr>
          <w:rFonts w:cs="Arial"/>
          <w:szCs w:val="24"/>
        </w:rPr>
        <w:t xml:space="preserve">, </w:t>
      </w:r>
      <w:r w:rsidRPr="005F469B">
        <w:rPr>
          <w:rFonts w:cs="Arial"/>
          <w:szCs w:val="24"/>
        </w:rPr>
        <w:t xml:space="preserve">including English and mathematics. </w:t>
      </w:r>
      <w:r w:rsidRPr="005F469B">
        <w:rPr>
          <w:rFonts w:cs="Arial"/>
          <w:szCs w:val="24"/>
        </w:rPr>
        <w:t xml:space="preserve"> </w:t>
      </w:r>
      <w:r w:rsidRPr="005F469B">
        <w:rPr>
          <w:rFonts w:cs="Arial"/>
          <w:szCs w:val="24"/>
        </w:rPr>
        <w:t>In summer 2016</w:t>
      </w:r>
      <w:r w:rsidRPr="005F469B">
        <w:rPr>
          <w:rFonts w:cs="Arial"/>
          <w:szCs w:val="24"/>
        </w:rPr>
        <w:t>,</w:t>
      </w:r>
      <w:r w:rsidRPr="005F469B">
        <w:rPr>
          <w:rFonts w:cs="Arial"/>
          <w:szCs w:val="24"/>
        </w:rPr>
        <w:t xml:space="preserve"> this situation deteriorated further, with only 21% of pupils gaining 5 or more good GCSEs</w:t>
      </w:r>
      <w:r w:rsidRPr="005F469B">
        <w:rPr>
          <w:rFonts w:cs="Arial"/>
          <w:szCs w:val="24"/>
        </w:rPr>
        <w:t>,</w:t>
      </w:r>
      <w:r w:rsidRPr="005F469B">
        <w:rPr>
          <w:rFonts w:cs="Arial"/>
          <w:szCs w:val="24"/>
        </w:rPr>
        <w:t xml:space="preserve"> inc</w:t>
      </w:r>
      <w:r w:rsidRPr="005F469B">
        <w:rPr>
          <w:rFonts w:cs="Arial"/>
          <w:szCs w:val="24"/>
        </w:rPr>
        <w:t>luding En</w:t>
      </w:r>
      <w:r w:rsidRPr="005F469B">
        <w:rPr>
          <w:rFonts w:cs="Arial"/>
          <w:szCs w:val="24"/>
        </w:rPr>
        <w:t>glish and mathematics.  In addition, t</w:t>
      </w:r>
      <w:r w:rsidRPr="005F469B">
        <w:rPr>
          <w:rFonts w:cs="Arial"/>
          <w:szCs w:val="24"/>
        </w:rPr>
        <w:t>he school is well below the new 2016 'Progress 8' floor standard of -0.5, with a 2016 score of -0.85, placing the schoo</w:t>
      </w:r>
      <w:r w:rsidRPr="005F469B">
        <w:rPr>
          <w:rFonts w:cs="Arial"/>
          <w:szCs w:val="24"/>
        </w:rPr>
        <w:t>l in the bottom 3% nationally.</w:t>
      </w:r>
    </w:p>
    <w:p w:rsidR="00324602" w:rsidRPr="005F469B" w:rsidRDefault="005F469B" w:rsidP="00324602">
      <w:pPr>
        <w:rPr>
          <w:rFonts w:cs="Arial"/>
          <w:i/>
          <w:szCs w:val="24"/>
        </w:rPr>
      </w:pPr>
    </w:p>
    <w:p w:rsidR="00324602" w:rsidRPr="005F469B" w:rsidRDefault="005F469B" w:rsidP="00324602">
      <w:pPr>
        <w:rPr>
          <w:rFonts w:cs="Arial"/>
          <w:szCs w:val="24"/>
        </w:rPr>
      </w:pPr>
      <w:r w:rsidRPr="005F469B">
        <w:rPr>
          <w:rFonts w:cs="Arial"/>
          <w:szCs w:val="24"/>
        </w:rPr>
        <w:t>Whilst i</w:t>
      </w:r>
      <w:r w:rsidRPr="005F469B">
        <w:rPr>
          <w:rFonts w:cs="Arial"/>
          <w:szCs w:val="24"/>
        </w:rPr>
        <w:t xml:space="preserve">t is acknowledged that a high proportion of pupils at </w:t>
      </w:r>
      <w:r w:rsidRPr="005F469B">
        <w:rPr>
          <w:rFonts w:cs="Arial"/>
          <w:szCs w:val="24"/>
        </w:rPr>
        <w:t>the s</w:t>
      </w:r>
      <w:r w:rsidRPr="005F469B">
        <w:rPr>
          <w:rFonts w:cs="Arial"/>
          <w:szCs w:val="24"/>
        </w:rPr>
        <w:t xml:space="preserve">chool </w:t>
      </w:r>
      <w:r w:rsidRPr="005F469B">
        <w:rPr>
          <w:rFonts w:cs="Arial"/>
          <w:szCs w:val="24"/>
        </w:rPr>
        <w:t>are from disadvantaged backgrounds</w:t>
      </w:r>
      <w:r w:rsidRPr="005F469B">
        <w:rPr>
          <w:rFonts w:cs="Arial"/>
          <w:szCs w:val="24"/>
        </w:rPr>
        <w:t xml:space="preserve">, </w:t>
      </w:r>
      <w:r w:rsidRPr="005F469B">
        <w:rPr>
          <w:rFonts w:cs="Arial"/>
          <w:szCs w:val="24"/>
        </w:rPr>
        <w:t>t</w:t>
      </w:r>
      <w:r w:rsidRPr="005F469B">
        <w:rPr>
          <w:rFonts w:cs="Arial"/>
          <w:szCs w:val="24"/>
        </w:rPr>
        <w:t>heir progress is not above the G</w:t>
      </w:r>
      <w:r w:rsidRPr="005F469B">
        <w:rPr>
          <w:rFonts w:cs="Arial"/>
          <w:szCs w:val="24"/>
        </w:rPr>
        <w:t xml:space="preserve">overnment's </w:t>
      </w:r>
      <w:r w:rsidRPr="005F469B">
        <w:rPr>
          <w:rFonts w:cs="Arial"/>
          <w:szCs w:val="24"/>
        </w:rPr>
        <w:t>f</w:t>
      </w:r>
      <w:r w:rsidRPr="005F469B">
        <w:rPr>
          <w:rFonts w:cs="Arial"/>
          <w:szCs w:val="24"/>
        </w:rPr>
        <w:t xml:space="preserve">loor </w:t>
      </w:r>
      <w:r w:rsidRPr="005F469B">
        <w:rPr>
          <w:rFonts w:cs="Arial"/>
          <w:szCs w:val="24"/>
        </w:rPr>
        <w:t>s</w:t>
      </w:r>
      <w:r w:rsidRPr="005F469B">
        <w:rPr>
          <w:rFonts w:cs="Arial"/>
          <w:szCs w:val="24"/>
        </w:rPr>
        <w:t>tandard and does not currently compare well against other Lancashire schools with pupils of similar ability.</w:t>
      </w:r>
    </w:p>
    <w:p w:rsidR="00324602" w:rsidRPr="005F469B" w:rsidRDefault="005F469B" w:rsidP="00324602">
      <w:pPr>
        <w:rPr>
          <w:rFonts w:cs="Arial"/>
          <w:szCs w:val="24"/>
        </w:rPr>
      </w:pPr>
    </w:p>
    <w:p w:rsidR="00324602" w:rsidRPr="005F469B" w:rsidRDefault="005F469B" w:rsidP="00324602">
      <w:pPr>
        <w:rPr>
          <w:rFonts w:cs="Arial"/>
          <w:szCs w:val="24"/>
        </w:rPr>
      </w:pPr>
      <w:r w:rsidRPr="005F469B">
        <w:rPr>
          <w:rFonts w:cs="Arial"/>
          <w:b/>
          <w:szCs w:val="24"/>
        </w:rPr>
        <w:t>Inspection Outcome</w:t>
      </w:r>
    </w:p>
    <w:p w:rsidR="00324602" w:rsidRPr="005F469B" w:rsidRDefault="005F469B" w:rsidP="00324602">
      <w:pPr>
        <w:rPr>
          <w:rFonts w:cs="Arial"/>
          <w:szCs w:val="24"/>
        </w:rPr>
      </w:pPr>
    </w:p>
    <w:p w:rsidR="00324602" w:rsidRPr="005F469B" w:rsidRDefault="005F469B" w:rsidP="00324602">
      <w:pPr>
        <w:rPr>
          <w:rFonts w:cs="Arial"/>
          <w:szCs w:val="24"/>
        </w:rPr>
      </w:pPr>
      <w:r w:rsidRPr="005F469B">
        <w:rPr>
          <w:rFonts w:cs="Arial"/>
          <w:szCs w:val="24"/>
        </w:rPr>
        <w:t>The most recent inspection of Ha</w:t>
      </w:r>
      <w:r w:rsidRPr="005F469B">
        <w:rPr>
          <w:rFonts w:cs="Arial"/>
          <w:szCs w:val="24"/>
        </w:rPr>
        <w:t>meldon</w:t>
      </w:r>
      <w:r w:rsidRPr="005F469B">
        <w:rPr>
          <w:rFonts w:cs="Arial"/>
          <w:szCs w:val="24"/>
        </w:rPr>
        <w:t xml:space="preserve"> Community College</w:t>
      </w:r>
      <w:r w:rsidRPr="005F469B">
        <w:rPr>
          <w:rFonts w:cs="Arial"/>
          <w:szCs w:val="24"/>
        </w:rPr>
        <w:t xml:space="preserve"> was in July 2015. Overall, the school was judged to require improvement but both leadership and management and pupils' personal development were judged to be good. </w:t>
      </w:r>
      <w:r w:rsidRPr="005F469B">
        <w:rPr>
          <w:rFonts w:cs="Arial"/>
          <w:szCs w:val="24"/>
        </w:rPr>
        <w:t xml:space="preserve"> </w:t>
      </w:r>
      <w:r w:rsidRPr="005F469B">
        <w:rPr>
          <w:rFonts w:cs="Arial"/>
          <w:szCs w:val="24"/>
        </w:rPr>
        <w:t>The inspection history of the school since 2007 has been poor, bei</w:t>
      </w:r>
      <w:r w:rsidRPr="005F469B">
        <w:rPr>
          <w:rFonts w:cs="Arial"/>
          <w:szCs w:val="24"/>
        </w:rPr>
        <w:t xml:space="preserve">ng placed in a category of concern three times and </w:t>
      </w:r>
      <w:r w:rsidRPr="005F469B">
        <w:rPr>
          <w:rFonts w:cs="Arial"/>
          <w:szCs w:val="24"/>
        </w:rPr>
        <w:t xml:space="preserve">it has </w:t>
      </w:r>
      <w:r w:rsidRPr="005F469B">
        <w:rPr>
          <w:rFonts w:cs="Arial"/>
          <w:szCs w:val="24"/>
        </w:rPr>
        <w:t xml:space="preserve">never been judged to be good overall. The school has not found it possible to sustain the improvements made with additional support from the local authority. </w:t>
      </w:r>
    </w:p>
    <w:p w:rsidR="00967C5D" w:rsidRPr="005F469B" w:rsidRDefault="005F469B" w:rsidP="00324602">
      <w:pPr>
        <w:rPr>
          <w:rFonts w:cs="Arial"/>
          <w:szCs w:val="24"/>
        </w:rPr>
      </w:pPr>
    </w:p>
    <w:p w:rsidR="00324602" w:rsidRPr="005F469B" w:rsidRDefault="005F469B" w:rsidP="00324602">
      <w:pPr>
        <w:rPr>
          <w:rFonts w:cs="Arial"/>
          <w:szCs w:val="24"/>
        </w:rPr>
      </w:pPr>
      <w:r w:rsidRPr="005F469B">
        <w:rPr>
          <w:rFonts w:cs="Arial"/>
          <w:szCs w:val="24"/>
        </w:rPr>
        <w:t xml:space="preserve">The section 8 monitoring guidance for schools that require improvement indicates that the school </w:t>
      </w:r>
      <w:r w:rsidRPr="005F469B">
        <w:rPr>
          <w:rFonts w:cs="Arial"/>
          <w:szCs w:val="24"/>
        </w:rPr>
        <w:t>should</w:t>
      </w:r>
      <w:r w:rsidRPr="005F469B">
        <w:rPr>
          <w:rFonts w:cs="Arial"/>
          <w:szCs w:val="24"/>
        </w:rPr>
        <w:t xml:space="preserve"> be re-inspected by the end of the summer term 2017. </w:t>
      </w:r>
      <w:r w:rsidRPr="005F469B">
        <w:rPr>
          <w:rFonts w:cs="Arial"/>
          <w:szCs w:val="24"/>
        </w:rPr>
        <w:t xml:space="preserve"> </w:t>
      </w:r>
      <w:r w:rsidRPr="005F469B">
        <w:rPr>
          <w:rFonts w:cs="Arial"/>
          <w:szCs w:val="24"/>
        </w:rPr>
        <w:t xml:space="preserve">The most recent standards achieved by the school in the summer 2016 place the school firmly in the </w:t>
      </w:r>
      <w:r w:rsidRPr="005F469B">
        <w:rPr>
          <w:rFonts w:cs="Arial"/>
          <w:szCs w:val="24"/>
        </w:rPr>
        <w:t xml:space="preserve">scope of the Regional Schools Commissioner </w:t>
      </w:r>
      <w:r w:rsidRPr="005F469B">
        <w:rPr>
          <w:rFonts w:cs="Arial"/>
          <w:szCs w:val="24"/>
        </w:rPr>
        <w:t xml:space="preserve">(RSC) </w:t>
      </w:r>
      <w:r w:rsidRPr="005F469B">
        <w:rPr>
          <w:rFonts w:cs="Arial"/>
          <w:szCs w:val="24"/>
        </w:rPr>
        <w:t>and meets the trigger for the school's inspection to be brought forward.</w:t>
      </w:r>
    </w:p>
    <w:p w:rsidR="00324602" w:rsidRPr="005F469B" w:rsidRDefault="005F469B" w:rsidP="00324602">
      <w:pPr>
        <w:rPr>
          <w:rFonts w:cs="Arial"/>
          <w:szCs w:val="24"/>
        </w:rPr>
      </w:pPr>
    </w:p>
    <w:p w:rsidR="00324602" w:rsidRPr="005F469B" w:rsidRDefault="005F469B" w:rsidP="00324602">
      <w:pPr>
        <w:rPr>
          <w:rFonts w:cs="Arial"/>
          <w:szCs w:val="24"/>
        </w:rPr>
      </w:pPr>
      <w:r w:rsidRPr="005F469B">
        <w:rPr>
          <w:rFonts w:cs="Arial"/>
          <w:szCs w:val="24"/>
        </w:rPr>
        <w:t>Recent staffing cuts made in an attempt to curb the increase in the school's significant budget deficit mean that the school does not</w:t>
      </w:r>
      <w:r w:rsidRPr="005F469B">
        <w:rPr>
          <w:rFonts w:cs="Arial"/>
          <w:szCs w:val="24"/>
        </w:rPr>
        <w:t>, in our opinion, have the capacity to make the required improvements.</w:t>
      </w:r>
      <w:r w:rsidRPr="005F469B">
        <w:rPr>
          <w:rFonts w:cs="Arial"/>
          <w:szCs w:val="24"/>
        </w:rPr>
        <w:t xml:space="preserve"> </w:t>
      </w:r>
      <w:r w:rsidRPr="005F469B">
        <w:rPr>
          <w:rFonts w:cs="Arial"/>
          <w:szCs w:val="24"/>
        </w:rPr>
        <w:t xml:space="preserve"> The school continues to struggle to recruit and retain good teachers, particularly in shortage subjects such as mathematics, and is currently reliant on a disproportionate number of su</w:t>
      </w:r>
      <w:r w:rsidRPr="005F469B">
        <w:rPr>
          <w:rFonts w:cs="Arial"/>
          <w:szCs w:val="24"/>
        </w:rPr>
        <w:t xml:space="preserve">pply teachers to fill staffing </w:t>
      </w:r>
      <w:r w:rsidRPr="005F469B">
        <w:rPr>
          <w:rFonts w:cs="Arial"/>
          <w:szCs w:val="24"/>
        </w:rPr>
        <w:t>gaps (over half of the teaching staff are employed on a daily supply basis), with an associated negative impact upon the curriculum they are able to offer,</w:t>
      </w:r>
      <w:r w:rsidRPr="005F469B">
        <w:rPr>
          <w:rFonts w:cs="Arial"/>
          <w:szCs w:val="24"/>
        </w:rPr>
        <w:t xml:space="preserve"> </w:t>
      </w:r>
      <w:r w:rsidRPr="005F469B">
        <w:rPr>
          <w:rFonts w:cs="Arial"/>
          <w:szCs w:val="24"/>
        </w:rPr>
        <w:t>quality of teaching, pupil behaviour and, inevitably, upon educationa</w:t>
      </w:r>
      <w:r w:rsidRPr="005F469B">
        <w:rPr>
          <w:rFonts w:cs="Arial"/>
          <w:szCs w:val="24"/>
        </w:rPr>
        <w:t>l outcomes.</w:t>
      </w:r>
    </w:p>
    <w:p w:rsidR="00CD5D92" w:rsidRPr="005F469B" w:rsidRDefault="005F469B" w:rsidP="00324602">
      <w:pPr>
        <w:rPr>
          <w:rFonts w:cs="Arial"/>
          <w:szCs w:val="24"/>
        </w:rPr>
      </w:pPr>
    </w:p>
    <w:p w:rsidR="00324602" w:rsidRPr="005F469B" w:rsidRDefault="005F469B" w:rsidP="00324602">
      <w:pPr>
        <w:rPr>
          <w:rFonts w:cs="Arial"/>
          <w:szCs w:val="24"/>
        </w:rPr>
      </w:pPr>
      <w:r w:rsidRPr="005F469B">
        <w:rPr>
          <w:rFonts w:cs="Arial"/>
          <w:szCs w:val="24"/>
        </w:rPr>
        <w:t>F</w:t>
      </w:r>
      <w:r w:rsidRPr="005F469B">
        <w:rPr>
          <w:rFonts w:cs="Arial"/>
          <w:szCs w:val="24"/>
        </w:rPr>
        <w:t>ollowing the retirement of the H</w:t>
      </w:r>
      <w:r w:rsidRPr="005F469B">
        <w:rPr>
          <w:rFonts w:cs="Arial"/>
          <w:szCs w:val="24"/>
        </w:rPr>
        <w:t xml:space="preserve">eadteacher in August 2016, it is highly unlikely that the school would be able to recruit a sufficiently capable and experienced replacement. </w:t>
      </w:r>
      <w:r w:rsidRPr="005F469B">
        <w:rPr>
          <w:rFonts w:cs="Arial"/>
          <w:szCs w:val="24"/>
        </w:rPr>
        <w:t xml:space="preserve"> Initially, the </w:t>
      </w:r>
      <w:r w:rsidRPr="005F469B">
        <w:rPr>
          <w:rFonts w:cs="Arial"/>
          <w:szCs w:val="24"/>
        </w:rPr>
        <w:t>local authority brokered an Acting Headteacher for t</w:t>
      </w:r>
      <w:r w:rsidRPr="005F469B">
        <w:rPr>
          <w:rFonts w:cs="Arial"/>
          <w:szCs w:val="24"/>
        </w:rPr>
        <w:t>he autumn term and have now secured leadership from two recently retired Headteachers sharing the role and paid on a daily consultancy basis until the end of the academic year. We have also had to second support from a senior leader from Thomas Whitham Six</w:t>
      </w:r>
      <w:r w:rsidRPr="005F469B">
        <w:rPr>
          <w:rFonts w:cs="Arial"/>
          <w:szCs w:val="24"/>
        </w:rPr>
        <w:t>th Form to</w:t>
      </w:r>
      <w:r w:rsidRPr="005F469B">
        <w:rPr>
          <w:rFonts w:cs="Arial"/>
          <w:szCs w:val="24"/>
        </w:rPr>
        <w:t xml:space="preserve"> cover the long-term absence arising f</w:t>
      </w:r>
      <w:r w:rsidRPr="005F469B">
        <w:rPr>
          <w:rFonts w:cs="Arial"/>
          <w:szCs w:val="24"/>
        </w:rPr>
        <w:t>rom the serious illness of the Acting Deputy H</w:t>
      </w:r>
      <w:r w:rsidRPr="005F469B">
        <w:rPr>
          <w:rFonts w:cs="Arial"/>
          <w:szCs w:val="24"/>
        </w:rPr>
        <w:t>ead</w:t>
      </w:r>
      <w:r w:rsidRPr="005F469B">
        <w:rPr>
          <w:rFonts w:cs="Arial"/>
          <w:szCs w:val="24"/>
        </w:rPr>
        <w:t xml:space="preserve">, who is </w:t>
      </w:r>
      <w:r w:rsidRPr="005F469B">
        <w:rPr>
          <w:rFonts w:cs="Arial"/>
          <w:szCs w:val="24"/>
        </w:rPr>
        <w:t xml:space="preserve">the only other substantive member of the school's senior leadership team. </w:t>
      </w:r>
      <w:r w:rsidRPr="005F469B">
        <w:rPr>
          <w:rFonts w:cs="Arial"/>
          <w:szCs w:val="24"/>
        </w:rPr>
        <w:t xml:space="preserve"> </w:t>
      </w:r>
      <w:r w:rsidRPr="005F469B">
        <w:rPr>
          <w:rFonts w:cs="Arial"/>
          <w:szCs w:val="24"/>
        </w:rPr>
        <w:t>These colleagues have successfully managed to stabilise behaviour and engag</w:t>
      </w:r>
      <w:r w:rsidRPr="005F469B">
        <w:rPr>
          <w:rFonts w:cs="Arial"/>
          <w:szCs w:val="24"/>
        </w:rPr>
        <w:t>e teaching staff, but they have concerns over the quality of teaching from temporary staff and do not expect to see any improvement in the school's poor educational outcomes this summer.</w:t>
      </w:r>
    </w:p>
    <w:p w:rsidR="00324602" w:rsidRPr="005F469B" w:rsidRDefault="005F469B" w:rsidP="00324602">
      <w:pPr>
        <w:rPr>
          <w:rFonts w:cs="Arial"/>
          <w:szCs w:val="24"/>
        </w:rPr>
      </w:pPr>
    </w:p>
    <w:p w:rsidR="00324602" w:rsidRPr="005F469B" w:rsidRDefault="005F469B" w:rsidP="00324602">
      <w:pPr>
        <w:rPr>
          <w:rFonts w:cs="Arial"/>
          <w:szCs w:val="24"/>
        </w:rPr>
      </w:pPr>
      <w:r w:rsidRPr="005F469B">
        <w:rPr>
          <w:rFonts w:cs="Arial"/>
          <w:szCs w:val="24"/>
        </w:rPr>
        <w:t xml:space="preserve">It is </w:t>
      </w:r>
      <w:r w:rsidRPr="005F469B">
        <w:rPr>
          <w:rFonts w:cs="Arial"/>
          <w:szCs w:val="24"/>
        </w:rPr>
        <w:t xml:space="preserve">the view of the local authority </w:t>
      </w:r>
      <w:r w:rsidRPr="005F469B">
        <w:rPr>
          <w:rFonts w:cs="Arial"/>
          <w:szCs w:val="24"/>
        </w:rPr>
        <w:t xml:space="preserve">that if the school were to be </w:t>
      </w:r>
      <w:r w:rsidRPr="005F469B">
        <w:rPr>
          <w:rFonts w:cs="Arial"/>
          <w:szCs w:val="24"/>
        </w:rPr>
        <w:t>re-inspected</w:t>
      </w:r>
      <w:r w:rsidRPr="005F469B">
        <w:rPr>
          <w:rFonts w:cs="Arial"/>
          <w:szCs w:val="24"/>
        </w:rPr>
        <w:t>,</w:t>
      </w:r>
      <w:r w:rsidRPr="005F469B">
        <w:rPr>
          <w:rFonts w:cs="Arial"/>
          <w:szCs w:val="24"/>
        </w:rPr>
        <w:t xml:space="preserve"> it would be judged to require special measures. </w:t>
      </w:r>
    </w:p>
    <w:p w:rsidR="00324602" w:rsidRPr="005F469B" w:rsidRDefault="005F469B" w:rsidP="00324602">
      <w:pPr>
        <w:rPr>
          <w:rFonts w:cs="Arial"/>
          <w:szCs w:val="24"/>
        </w:rPr>
      </w:pPr>
    </w:p>
    <w:p w:rsidR="00324602" w:rsidRPr="005F469B" w:rsidRDefault="005F469B" w:rsidP="00324602">
      <w:pPr>
        <w:rPr>
          <w:rFonts w:cs="Arial"/>
          <w:szCs w:val="24"/>
        </w:rPr>
      </w:pPr>
      <w:r w:rsidRPr="005F469B">
        <w:rPr>
          <w:rFonts w:cs="Arial"/>
          <w:szCs w:val="24"/>
        </w:rPr>
        <w:t>The</w:t>
      </w:r>
      <w:r w:rsidRPr="005F469B">
        <w:rPr>
          <w:rFonts w:cs="Arial"/>
          <w:szCs w:val="24"/>
        </w:rPr>
        <w:t xml:space="preserve"> Department for Education's (DfE) guidance </w:t>
      </w:r>
      <w:r w:rsidRPr="005F469B">
        <w:rPr>
          <w:rFonts w:cs="Arial"/>
          <w:szCs w:val="24"/>
        </w:rPr>
        <w:t>document</w:t>
      </w:r>
      <w:r w:rsidRPr="005F469B">
        <w:rPr>
          <w:rFonts w:cs="Arial"/>
          <w:szCs w:val="24"/>
        </w:rPr>
        <w:t xml:space="preserve">, </w:t>
      </w:r>
      <w:r w:rsidRPr="005F469B">
        <w:rPr>
          <w:rFonts w:cs="Arial"/>
          <w:szCs w:val="24"/>
        </w:rPr>
        <w:t>Schools causing concern</w:t>
      </w:r>
      <w:r w:rsidRPr="005F469B">
        <w:rPr>
          <w:rFonts w:cs="Arial"/>
          <w:szCs w:val="24"/>
        </w:rPr>
        <w:t xml:space="preserve">: </w:t>
      </w:r>
      <w:r w:rsidRPr="005F469B">
        <w:rPr>
          <w:rFonts w:cs="Arial"/>
          <w:szCs w:val="24"/>
        </w:rPr>
        <w:t xml:space="preserve"> Intervening in failing, underperforming and coasting schools </w:t>
      </w:r>
      <w:r w:rsidRPr="005F469B">
        <w:rPr>
          <w:rFonts w:cs="Arial"/>
          <w:szCs w:val="24"/>
        </w:rPr>
        <w:t>(March 2016) states that a school that has been j</w:t>
      </w:r>
      <w:r w:rsidRPr="005F469B">
        <w:rPr>
          <w:rFonts w:cs="Arial"/>
          <w:szCs w:val="24"/>
        </w:rPr>
        <w:t xml:space="preserve">udged by Ofsted to be providing an inadequate education by will be issued with an academy order. </w:t>
      </w:r>
      <w:r w:rsidRPr="005F469B">
        <w:rPr>
          <w:rFonts w:cs="Arial"/>
          <w:szCs w:val="24"/>
        </w:rPr>
        <w:t xml:space="preserve"> </w:t>
      </w:r>
      <w:r w:rsidRPr="005F469B">
        <w:rPr>
          <w:rFonts w:cs="Arial"/>
          <w:szCs w:val="24"/>
        </w:rPr>
        <w:t xml:space="preserve">If Hameldon </w:t>
      </w:r>
      <w:r w:rsidRPr="005F469B">
        <w:rPr>
          <w:rFonts w:cs="Arial"/>
          <w:szCs w:val="24"/>
        </w:rPr>
        <w:t xml:space="preserve">Community College </w:t>
      </w:r>
      <w:r w:rsidRPr="005F469B">
        <w:rPr>
          <w:rFonts w:cs="Arial"/>
          <w:szCs w:val="24"/>
        </w:rPr>
        <w:t xml:space="preserve">were to be inadequate at the next inspection, due by July </w:t>
      </w:r>
      <w:r w:rsidRPr="005F469B">
        <w:rPr>
          <w:rFonts w:cs="Arial"/>
          <w:szCs w:val="24"/>
        </w:rPr>
        <w:t>20</w:t>
      </w:r>
      <w:r w:rsidRPr="005F469B">
        <w:rPr>
          <w:rFonts w:cs="Arial"/>
          <w:szCs w:val="24"/>
        </w:rPr>
        <w:t>17, it is unlikely that a sponsor would be found for the school beca</w:t>
      </w:r>
      <w:r w:rsidRPr="005F469B">
        <w:rPr>
          <w:rFonts w:cs="Arial"/>
          <w:szCs w:val="24"/>
        </w:rPr>
        <w:t xml:space="preserve">use of the current financial status and longer term viability of the school. </w:t>
      </w:r>
      <w:r w:rsidRPr="005F469B">
        <w:rPr>
          <w:rFonts w:cs="Arial"/>
          <w:szCs w:val="24"/>
        </w:rPr>
        <w:t xml:space="preserve"> </w:t>
      </w:r>
      <w:r w:rsidRPr="005F469B">
        <w:rPr>
          <w:rFonts w:cs="Arial"/>
          <w:szCs w:val="24"/>
        </w:rPr>
        <w:t>Following an academy order being issued, the RSC has the power to revoke the order.</w:t>
      </w:r>
      <w:r w:rsidRPr="005F469B">
        <w:rPr>
          <w:rFonts w:cs="Arial"/>
          <w:szCs w:val="24"/>
        </w:rPr>
        <w:t xml:space="preserve"> </w:t>
      </w:r>
      <w:r w:rsidRPr="005F469B">
        <w:rPr>
          <w:rFonts w:cs="Arial"/>
          <w:szCs w:val="24"/>
        </w:rPr>
        <w:t xml:space="preserve"> This power will only be used in very exceptional cases</w:t>
      </w:r>
      <w:r w:rsidRPr="005F469B">
        <w:rPr>
          <w:rFonts w:cs="Arial"/>
          <w:szCs w:val="24"/>
        </w:rPr>
        <w:t xml:space="preserve">, </w:t>
      </w:r>
      <w:r w:rsidRPr="005F469B">
        <w:rPr>
          <w:rFonts w:cs="Arial"/>
          <w:szCs w:val="24"/>
        </w:rPr>
        <w:t>for example, should the maintained sc</w:t>
      </w:r>
      <w:r w:rsidRPr="005F469B">
        <w:rPr>
          <w:rFonts w:cs="Arial"/>
          <w:szCs w:val="24"/>
        </w:rPr>
        <w:t xml:space="preserve">hool not be viable and therefore it is deemed to be most appropriate that the school should close. </w:t>
      </w:r>
    </w:p>
    <w:p w:rsidR="003C60E4" w:rsidRPr="005F469B" w:rsidRDefault="005F469B" w:rsidP="00324602">
      <w:pPr>
        <w:rPr>
          <w:rFonts w:cs="Arial"/>
          <w:szCs w:val="24"/>
        </w:rPr>
      </w:pPr>
    </w:p>
    <w:p w:rsidR="003C60E4" w:rsidRPr="005F469B" w:rsidRDefault="005F469B" w:rsidP="00324602">
      <w:pPr>
        <w:rPr>
          <w:rFonts w:cs="Arial"/>
          <w:szCs w:val="24"/>
        </w:rPr>
      </w:pPr>
      <w:r w:rsidRPr="005F469B">
        <w:rPr>
          <w:rFonts w:cs="Arial"/>
          <w:szCs w:val="24"/>
        </w:rPr>
        <w:t>With regard to the education standards across the other state-funded secondary schools in Burnley,</w:t>
      </w:r>
      <w:r w:rsidRPr="005F469B">
        <w:rPr>
          <w:rFonts w:cs="Arial"/>
          <w:szCs w:val="24"/>
        </w:rPr>
        <w:t xml:space="preserve"> </w:t>
      </w:r>
      <w:r w:rsidRPr="005F469B">
        <w:rPr>
          <w:rFonts w:cs="Arial"/>
          <w:szCs w:val="24"/>
        </w:rPr>
        <w:t xml:space="preserve">as judged by Ofsted, four </w:t>
      </w:r>
      <w:r w:rsidRPr="005F469B">
        <w:rPr>
          <w:rFonts w:cs="Arial"/>
          <w:szCs w:val="24"/>
        </w:rPr>
        <w:t xml:space="preserve">are deemed to be 'Good' and one is deemed to be 'Requires Improvement'.  This is Shuttleworth College which is currently on track to be judged 'Good'.  The University Technical College in Burnley is also judged to be 'Requires Improvement' but the DfE are </w:t>
      </w:r>
      <w:r w:rsidRPr="005F469B">
        <w:rPr>
          <w:rFonts w:cs="Arial"/>
          <w:szCs w:val="24"/>
        </w:rPr>
        <w:t>closing the school at the end of August 2018.</w:t>
      </w:r>
    </w:p>
    <w:p w:rsidR="003C60E4" w:rsidRPr="005F469B" w:rsidRDefault="005F469B" w:rsidP="00324602">
      <w:pPr>
        <w:rPr>
          <w:rFonts w:cs="Arial"/>
          <w:szCs w:val="24"/>
        </w:rPr>
      </w:pPr>
    </w:p>
    <w:p w:rsidR="00324602" w:rsidRPr="005F469B" w:rsidRDefault="005F469B" w:rsidP="00324602">
      <w:pPr>
        <w:rPr>
          <w:rFonts w:cs="Arial"/>
          <w:szCs w:val="24"/>
        </w:rPr>
      </w:pPr>
      <w:r w:rsidRPr="005F469B">
        <w:rPr>
          <w:rFonts w:cs="Arial"/>
          <w:b/>
          <w:szCs w:val="24"/>
        </w:rPr>
        <w:t>Pupil Numbers and Admissions</w:t>
      </w:r>
      <w:r w:rsidRPr="005F469B">
        <w:rPr>
          <w:rFonts w:cs="Arial"/>
          <w:szCs w:val="24"/>
        </w:rPr>
        <w:br/>
      </w:r>
      <w:r w:rsidRPr="005F469B">
        <w:rPr>
          <w:rFonts w:cs="Arial"/>
          <w:szCs w:val="24"/>
        </w:rPr>
        <w:br/>
      </w:r>
      <w:r w:rsidRPr="005F469B">
        <w:rPr>
          <w:rFonts w:cs="Arial"/>
          <w:szCs w:val="24"/>
        </w:rPr>
        <w:t>Hameldon</w:t>
      </w:r>
      <w:r w:rsidRPr="005F469B">
        <w:rPr>
          <w:rFonts w:cs="Arial"/>
          <w:szCs w:val="24"/>
        </w:rPr>
        <w:t xml:space="preserve"> Community College</w:t>
      </w:r>
      <w:r w:rsidRPr="005F469B">
        <w:rPr>
          <w:rFonts w:cs="Arial"/>
          <w:szCs w:val="24"/>
        </w:rPr>
        <w:t xml:space="preserve"> has had falling numbers for some years; a 14% decline in number on roll and a 34% decrease on intake into year 7</w:t>
      </w:r>
      <w:r w:rsidRPr="005F469B">
        <w:rPr>
          <w:rFonts w:cs="Arial"/>
          <w:szCs w:val="24"/>
        </w:rPr>
        <w:t xml:space="preserve"> in the last 5 years</w:t>
      </w:r>
      <w:r w:rsidRPr="005F469B">
        <w:rPr>
          <w:rFonts w:cs="Arial"/>
          <w:szCs w:val="24"/>
        </w:rPr>
        <w:t>.</w:t>
      </w:r>
      <w:r w:rsidRPr="005F469B">
        <w:rPr>
          <w:rFonts w:cs="Arial"/>
          <w:szCs w:val="24"/>
        </w:rPr>
        <w:t xml:space="preserve">  As at</w:t>
      </w:r>
      <w:r w:rsidRPr="005F469B">
        <w:rPr>
          <w:rFonts w:cs="Arial"/>
          <w:szCs w:val="24"/>
        </w:rPr>
        <w:t xml:space="preserve"> </w:t>
      </w:r>
      <w:r w:rsidRPr="005F469B">
        <w:rPr>
          <w:rFonts w:cs="Arial"/>
          <w:szCs w:val="24"/>
        </w:rPr>
        <w:t>May</w:t>
      </w:r>
      <w:r w:rsidRPr="005F469B">
        <w:rPr>
          <w:rFonts w:cs="Arial"/>
          <w:szCs w:val="24"/>
        </w:rPr>
        <w:t xml:space="preserve"> 2017</w:t>
      </w:r>
      <w:r w:rsidRPr="005F469B">
        <w:rPr>
          <w:rFonts w:cs="Arial"/>
          <w:szCs w:val="24"/>
        </w:rPr>
        <w:t>, t</w:t>
      </w:r>
      <w:r w:rsidRPr="005F469B">
        <w:rPr>
          <w:rFonts w:cs="Arial"/>
          <w:szCs w:val="24"/>
        </w:rPr>
        <w:t>he pupil</w:t>
      </w:r>
      <w:r w:rsidRPr="005F469B">
        <w:rPr>
          <w:rFonts w:cs="Arial"/>
          <w:szCs w:val="24"/>
        </w:rPr>
        <w:t xml:space="preserve"> numbers at the school stood at 2</w:t>
      </w:r>
      <w:r w:rsidRPr="005F469B">
        <w:rPr>
          <w:rFonts w:cs="Arial"/>
          <w:szCs w:val="24"/>
        </w:rPr>
        <w:t>75</w:t>
      </w:r>
      <w:r w:rsidRPr="005F469B">
        <w:rPr>
          <w:rFonts w:cs="Arial"/>
          <w:szCs w:val="24"/>
        </w:rPr>
        <w:t>.</w:t>
      </w:r>
    </w:p>
    <w:p w:rsidR="00324602" w:rsidRPr="005F469B" w:rsidRDefault="005F469B" w:rsidP="00324602">
      <w:pPr>
        <w:rPr>
          <w:rFonts w:cs="Arial"/>
          <w:szCs w:val="24"/>
        </w:rPr>
      </w:pPr>
    </w:p>
    <w:p w:rsidR="00324602" w:rsidRPr="005F469B" w:rsidRDefault="005F469B" w:rsidP="00324602">
      <w:pPr>
        <w:rPr>
          <w:rFonts w:cs="Arial"/>
          <w:szCs w:val="24"/>
        </w:rPr>
      </w:pPr>
      <w:r w:rsidRPr="005F469B">
        <w:rPr>
          <w:rFonts w:cs="Arial"/>
          <w:szCs w:val="24"/>
        </w:rPr>
        <w:t xml:space="preserve">As a consequence of the reductions in pupil numbers, the financial resources available to the school have dropped significantly in recent years. </w:t>
      </w:r>
      <w:r w:rsidRPr="005F469B">
        <w:rPr>
          <w:rFonts w:cs="Arial"/>
          <w:szCs w:val="24"/>
        </w:rPr>
        <w:t xml:space="preserve"> </w:t>
      </w:r>
      <w:r w:rsidRPr="005F469B">
        <w:rPr>
          <w:rFonts w:cs="Arial"/>
          <w:szCs w:val="24"/>
        </w:rPr>
        <w:t>At the end of March 2015</w:t>
      </w:r>
      <w:r w:rsidRPr="005F469B">
        <w:rPr>
          <w:rFonts w:cs="Arial"/>
          <w:szCs w:val="24"/>
        </w:rPr>
        <w:t>,</w:t>
      </w:r>
      <w:r w:rsidRPr="005F469B">
        <w:rPr>
          <w:rFonts w:cs="Arial"/>
          <w:szCs w:val="24"/>
        </w:rPr>
        <w:t xml:space="preserve"> the school had a</w:t>
      </w:r>
      <w:r w:rsidRPr="005F469B">
        <w:rPr>
          <w:rFonts w:cs="Arial"/>
          <w:szCs w:val="24"/>
        </w:rPr>
        <w:t xml:space="preserve"> cumulative </w:t>
      </w:r>
      <w:r w:rsidRPr="005F469B">
        <w:rPr>
          <w:rFonts w:cs="Arial"/>
          <w:szCs w:val="24"/>
        </w:rPr>
        <w:t>deficit of</w:t>
      </w:r>
      <w:r w:rsidRPr="005F469B">
        <w:rPr>
          <w:rFonts w:cs="Arial"/>
          <w:szCs w:val="24"/>
        </w:rPr>
        <w:t xml:space="preserve"> over £1,900,000.</w:t>
      </w:r>
      <w:r w:rsidRPr="005F469B">
        <w:rPr>
          <w:rFonts w:cs="Arial"/>
          <w:szCs w:val="24"/>
        </w:rPr>
        <w:t xml:space="preserve"> </w:t>
      </w:r>
      <w:r w:rsidRPr="005F469B">
        <w:rPr>
          <w:rFonts w:cs="Arial"/>
          <w:szCs w:val="24"/>
        </w:rPr>
        <w:t xml:space="preserve"> Schools are required to set a balanced budget and this would only be achievable in </w:t>
      </w:r>
      <w:r w:rsidRPr="005F469B">
        <w:rPr>
          <w:rFonts w:cs="Arial"/>
          <w:szCs w:val="24"/>
        </w:rPr>
        <w:t xml:space="preserve">this </w:t>
      </w:r>
      <w:r w:rsidRPr="005F469B">
        <w:rPr>
          <w:rFonts w:cs="Arial"/>
          <w:szCs w:val="24"/>
        </w:rPr>
        <w:t>case through further significant staffing reductions and further reshaping of the curriculum offer</w:t>
      </w:r>
      <w:r w:rsidRPr="005F469B">
        <w:rPr>
          <w:rFonts w:cs="Arial"/>
          <w:szCs w:val="24"/>
        </w:rPr>
        <w:t xml:space="preserve">.  However, </w:t>
      </w:r>
      <w:r w:rsidRPr="005F469B">
        <w:rPr>
          <w:rFonts w:cs="Arial"/>
          <w:szCs w:val="24"/>
        </w:rPr>
        <w:t>following staffing cuts made in the las</w:t>
      </w:r>
      <w:r w:rsidRPr="005F469B">
        <w:rPr>
          <w:rFonts w:cs="Arial"/>
          <w:szCs w:val="24"/>
        </w:rPr>
        <w:t>t financial year</w:t>
      </w:r>
      <w:r w:rsidRPr="005F469B">
        <w:rPr>
          <w:rFonts w:cs="Arial"/>
          <w:szCs w:val="24"/>
        </w:rPr>
        <w:t>,</w:t>
      </w:r>
      <w:r w:rsidRPr="005F469B">
        <w:rPr>
          <w:rFonts w:cs="Arial"/>
          <w:szCs w:val="24"/>
        </w:rPr>
        <w:t xml:space="preserve"> we do not believe that it is possible for the school to make further cuts whilst continuing to deliver the statutory curriculum offer.</w:t>
      </w:r>
    </w:p>
    <w:p w:rsidR="00324602" w:rsidRPr="005F469B" w:rsidRDefault="005F469B" w:rsidP="00324602">
      <w:pPr>
        <w:rPr>
          <w:rFonts w:cs="Arial"/>
          <w:szCs w:val="24"/>
        </w:rPr>
      </w:pPr>
    </w:p>
    <w:p w:rsidR="00324602" w:rsidRPr="005F469B" w:rsidRDefault="005F469B" w:rsidP="00324602">
      <w:pPr>
        <w:rPr>
          <w:rFonts w:cs="Arial"/>
          <w:szCs w:val="24"/>
        </w:rPr>
      </w:pPr>
      <w:r w:rsidRPr="005F469B">
        <w:rPr>
          <w:rFonts w:cs="Arial"/>
          <w:szCs w:val="24"/>
        </w:rPr>
        <w:lastRenderedPageBreak/>
        <w:t>The small size of the school and the extent of the financial challenge add considerably to the difficu</w:t>
      </w:r>
      <w:r w:rsidRPr="005F469B">
        <w:rPr>
          <w:rFonts w:cs="Arial"/>
          <w:szCs w:val="24"/>
        </w:rPr>
        <w:t>lty in making the necessary rapid improvements in education outcomes required to meet the Government's targets.</w:t>
      </w:r>
    </w:p>
    <w:p w:rsidR="00324602" w:rsidRPr="005F469B" w:rsidRDefault="005F469B" w:rsidP="00324602">
      <w:pPr>
        <w:rPr>
          <w:rFonts w:cs="Arial"/>
          <w:szCs w:val="24"/>
        </w:rPr>
      </w:pPr>
    </w:p>
    <w:p w:rsidR="00324602" w:rsidRPr="005F469B" w:rsidRDefault="005F469B" w:rsidP="00324602">
      <w:pPr>
        <w:rPr>
          <w:rFonts w:cs="Arial"/>
          <w:szCs w:val="24"/>
        </w:rPr>
      </w:pPr>
      <w:r w:rsidRPr="005F469B">
        <w:rPr>
          <w:rFonts w:cs="Arial"/>
          <w:szCs w:val="24"/>
        </w:rPr>
        <w:t xml:space="preserve">However, the overall decline in numbers across </w:t>
      </w:r>
      <w:r w:rsidRPr="005F469B">
        <w:rPr>
          <w:rFonts w:cs="Arial"/>
          <w:szCs w:val="24"/>
        </w:rPr>
        <w:t xml:space="preserve">the </w:t>
      </w:r>
      <w:r w:rsidRPr="005F469B">
        <w:rPr>
          <w:rFonts w:cs="Arial"/>
          <w:szCs w:val="24"/>
        </w:rPr>
        <w:t xml:space="preserve">Burnley </w:t>
      </w:r>
      <w:r w:rsidRPr="005F469B">
        <w:rPr>
          <w:rFonts w:cs="Arial"/>
          <w:szCs w:val="24"/>
        </w:rPr>
        <w:t xml:space="preserve">district </w:t>
      </w:r>
      <w:r w:rsidRPr="005F469B">
        <w:rPr>
          <w:rFonts w:cs="Arial"/>
          <w:szCs w:val="24"/>
        </w:rPr>
        <w:t>has started to reverse and there have been increases in the total number on</w:t>
      </w:r>
      <w:r w:rsidRPr="005F469B">
        <w:rPr>
          <w:rFonts w:cs="Arial"/>
          <w:szCs w:val="24"/>
        </w:rPr>
        <w:t xml:space="preserve"> roll </w:t>
      </w:r>
      <w:r w:rsidRPr="005F469B">
        <w:rPr>
          <w:rFonts w:cs="Arial"/>
          <w:szCs w:val="24"/>
        </w:rPr>
        <w:t xml:space="preserve">(NOR) </w:t>
      </w:r>
      <w:r w:rsidRPr="005F469B">
        <w:rPr>
          <w:rFonts w:cs="Arial"/>
          <w:szCs w:val="24"/>
        </w:rPr>
        <w:t xml:space="preserve">across all but </w:t>
      </w:r>
      <w:r w:rsidRPr="005F469B">
        <w:rPr>
          <w:rFonts w:cs="Arial"/>
          <w:szCs w:val="24"/>
        </w:rPr>
        <w:t xml:space="preserve">two </w:t>
      </w:r>
      <w:r w:rsidRPr="005F469B">
        <w:rPr>
          <w:rFonts w:cs="Arial"/>
          <w:szCs w:val="24"/>
        </w:rPr>
        <w:t xml:space="preserve">schools in the area over more recent years. </w:t>
      </w:r>
      <w:r w:rsidRPr="005F469B">
        <w:rPr>
          <w:rFonts w:cs="Arial"/>
          <w:szCs w:val="24"/>
        </w:rPr>
        <w:t xml:space="preserve"> </w:t>
      </w:r>
      <w:r w:rsidRPr="005F469B">
        <w:rPr>
          <w:rFonts w:cs="Arial"/>
          <w:szCs w:val="24"/>
        </w:rPr>
        <w:t xml:space="preserve">In addition, the </w:t>
      </w:r>
      <w:r w:rsidRPr="005F469B">
        <w:rPr>
          <w:rFonts w:cs="Arial"/>
          <w:szCs w:val="24"/>
        </w:rPr>
        <w:t xml:space="preserve">2014 </w:t>
      </w:r>
      <w:r w:rsidRPr="005F469B">
        <w:rPr>
          <w:rFonts w:cs="Arial"/>
          <w:szCs w:val="24"/>
        </w:rPr>
        <w:t>opening of Burnley High School created 90 additional Year 7 places in Burnley, when intake numbers were just starting to recover from their previous levels.</w:t>
      </w:r>
    </w:p>
    <w:p w:rsidR="00324602" w:rsidRPr="005F469B" w:rsidRDefault="005F469B" w:rsidP="00324602">
      <w:pPr>
        <w:rPr>
          <w:rFonts w:cs="Arial"/>
          <w:szCs w:val="24"/>
        </w:rPr>
      </w:pPr>
    </w:p>
    <w:p w:rsidR="00324602" w:rsidRPr="005F469B" w:rsidRDefault="005F469B" w:rsidP="00324602">
      <w:pPr>
        <w:rPr>
          <w:rFonts w:cs="Arial"/>
          <w:szCs w:val="24"/>
        </w:rPr>
      </w:pPr>
      <w:r w:rsidRPr="005F469B">
        <w:rPr>
          <w:rFonts w:cs="Arial"/>
          <w:szCs w:val="24"/>
        </w:rPr>
        <w:t>Hameldon Community College is currently 60% empty and the number of pupils expressing a first preference has been falling</w:t>
      </w:r>
      <w:r w:rsidRPr="005F469B">
        <w:rPr>
          <w:rFonts w:cs="Arial"/>
          <w:szCs w:val="24"/>
        </w:rPr>
        <w:t xml:space="preserve">, </w:t>
      </w:r>
      <w:r w:rsidRPr="005F469B">
        <w:rPr>
          <w:rFonts w:cs="Arial"/>
          <w:szCs w:val="24"/>
        </w:rPr>
        <w:t>fr</w:t>
      </w:r>
      <w:r w:rsidRPr="005F469B">
        <w:rPr>
          <w:rFonts w:cs="Arial"/>
          <w:szCs w:val="24"/>
        </w:rPr>
        <w:t>om a high of 91 pupils in 2013.</w:t>
      </w:r>
    </w:p>
    <w:p w:rsidR="00324602" w:rsidRPr="005F469B" w:rsidRDefault="005F469B" w:rsidP="00324602">
      <w:pPr>
        <w:rPr>
          <w:rFonts w:cs="Arial"/>
          <w:szCs w:val="24"/>
        </w:rPr>
      </w:pPr>
    </w:p>
    <w:p w:rsidR="007139AF" w:rsidRPr="005F469B" w:rsidRDefault="005F469B" w:rsidP="00324602">
      <w:pPr>
        <w:rPr>
          <w:rFonts w:cs="Arial"/>
          <w:szCs w:val="24"/>
        </w:rPr>
      </w:pPr>
      <w:r w:rsidRPr="005F469B">
        <w:rPr>
          <w:rFonts w:cs="Arial"/>
          <w:szCs w:val="24"/>
        </w:rPr>
        <w:t>Whilst the number of pupils expressing a first preference for Sept</w:t>
      </w:r>
      <w:r w:rsidRPr="005F469B">
        <w:rPr>
          <w:rFonts w:cs="Arial"/>
          <w:szCs w:val="24"/>
        </w:rPr>
        <w:t>ember 2017 admission to the scho</w:t>
      </w:r>
      <w:r w:rsidRPr="005F469B">
        <w:rPr>
          <w:rFonts w:cs="Arial"/>
          <w:szCs w:val="24"/>
        </w:rPr>
        <w:t>ol</w:t>
      </w:r>
      <w:r w:rsidRPr="005F469B">
        <w:rPr>
          <w:rFonts w:cs="Arial"/>
          <w:szCs w:val="24"/>
        </w:rPr>
        <w:t xml:space="preserve"> was just 3</w:t>
      </w:r>
      <w:r w:rsidRPr="005F469B">
        <w:rPr>
          <w:rFonts w:cs="Arial"/>
          <w:szCs w:val="24"/>
        </w:rPr>
        <w:t>5</w:t>
      </w:r>
      <w:r w:rsidRPr="005F469B">
        <w:rPr>
          <w:rFonts w:cs="Arial"/>
          <w:szCs w:val="24"/>
        </w:rPr>
        <w:t xml:space="preserve">, the current situation shows that </w:t>
      </w:r>
      <w:r w:rsidRPr="005F469B">
        <w:rPr>
          <w:rFonts w:cs="Arial"/>
          <w:szCs w:val="24"/>
        </w:rPr>
        <w:t xml:space="preserve">the school has made </w:t>
      </w:r>
      <w:r w:rsidRPr="005F469B">
        <w:rPr>
          <w:rFonts w:cs="Arial"/>
          <w:szCs w:val="24"/>
        </w:rPr>
        <w:t xml:space="preserve">actual </w:t>
      </w:r>
      <w:r w:rsidRPr="005F469B">
        <w:rPr>
          <w:rFonts w:cs="Arial"/>
          <w:szCs w:val="24"/>
        </w:rPr>
        <w:t>o</w:t>
      </w:r>
      <w:r w:rsidRPr="005F469B">
        <w:rPr>
          <w:rFonts w:cs="Arial"/>
          <w:szCs w:val="24"/>
        </w:rPr>
        <w:t xml:space="preserve">ffers </w:t>
      </w:r>
      <w:r w:rsidRPr="005F469B">
        <w:rPr>
          <w:rFonts w:cs="Arial"/>
          <w:szCs w:val="24"/>
        </w:rPr>
        <w:t>to 66</w:t>
      </w:r>
      <w:r w:rsidRPr="005F469B">
        <w:rPr>
          <w:rFonts w:cs="Arial"/>
          <w:szCs w:val="24"/>
        </w:rPr>
        <w:t xml:space="preserve"> pupils.</w:t>
      </w:r>
      <w:r w:rsidRPr="005F469B">
        <w:rPr>
          <w:rFonts w:cs="Arial"/>
          <w:szCs w:val="24"/>
        </w:rPr>
        <w:t xml:space="preserve">  If this proposal to consult upon the closure of Hameldon Community College is approved, a</w:t>
      </w:r>
      <w:r w:rsidRPr="005F469B">
        <w:rPr>
          <w:rFonts w:cs="Arial"/>
          <w:szCs w:val="24"/>
        </w:rPr>
        <w:t>ll parents who have expressed a preference for a place for their chil</w:t>
      </w:r>
      <w:r w:rsidRPr="005F469B">
        <w:rPr>
          <w:rFonts w:cs="Arial"/>
          <w:szCs w:val="24"/>
        </w:rPr>
        <w:t xml:space="preserve">d at </w:t>
      </w:r>
      <w:r w:rsidRPr="005F469B">
        <w:rPr>
          <w:rFonts w:cs="Arial"/>
          <w:szCs w:val="24"/>
        </w:rPr>
        <w:t>the school</w:t>
      </w:r>
      <w:r w:rsidRPr="005F469B">
        <w:rPr>
          <w:rFonts w:cs="Arial"/>
          <w:szCs w:val="24"/>
        </w:rPr>
        <w:t xml:space="preserve"> </w:t>
      </w:r>
      <w:r w:rsidRPr="005F469B">
        <w:rPr>
          <w:rFonts w:cs="Arial"/>
          <w:szCs w:val="24"/>
        </w:rPr>
        <w:t xml:space="preserve">from September 2017 </w:t>
      </w:r>
      <w:r w:rsidRPr="005F469B">
        <w:rPr>
          <w:rFonts w:cs="Arial"/>
          <w:szCs w:val="24"/>
        </w:rPr>
        <w:t xml:space="preserve">would be asked to put forward a further preference for another school, with </w:t>
      </w:r>
      <w:r w:rsidRPr="005F469B">
        <w:rPr>
          <w:rFonts w:cs="Arial"/>
          <w:szCs w:val="24"/>
        </w:rPr>
        <w:t xml:space="preserve">the authority providing </w:t>
      </w:r>
      <w:r w:rsidRPr="005F469B">
        <w:rPr>
          <w:rFonts w:cs="Arial"/>
          <w:szCs w:val="24"/>
        </w:rPr>
        <w:t>support for pupils and parents in making the transition to another school</w:t>
      </w:r>
      <w:r w:rsidRPr="005F469B">
        <w:rPr>
          <w:rFonts w:cs="Arial"/>
          <w:szCs w:val="24"/>
        </w:rPr>
        <w:t xml:space="preserve">.  </w:t>
      </w:r>
    </w:p>
    <w:p w:rsidR="007139AF" w:rsidRPr="005F469B" w:rsidRDefault="005F469B" w:rsidP="00324602">
      <w:pPr>
        <w:rPr>
          <w:rFonts w:cs="Arial"/>
          <w:szCs w:val="24"/>
        </w:rPr>
      </w:pPr>
    </w:p>
    <w:p w:rsidR="00324602" w:rsidRPr="005F469B" w:rsidRDefault="005F469B" w:rsidP="00324602">
      <w:pPr>
        <w:rPr>
          <w:rFonts w:cs="Arial"/>
          <w:szCs w:val="24"/>
        </w:rPr>
      </w:pPr>
      <w:r w:rsidRPr="005F469B">
        <w:rPr>
          <w:rFonts w:cs="Arial"/>
          <w:szCs w:val="24"/>
        </w:rPr>
        <w:t xml:space="preserve">Although </w:t>
      </w:r>
      <w:r w:rsidRPr="005F469B">
        <w:rPr>
          <w:rFonts w:cs="Arial"/>
          <w:szCs w:val="24"/>
        </w:rPr>
        <w:t>it is anticipated that a number o</w:t>
      </w:r>
      <w:r w:rsidRPr="005F469B">
        <w:rPr>
          <w:rFonts w:cs="Arial"/>
          <w:szCs w:val="24"/>
        </w:rPr>
        <w:t>f these pupils may appeal for alternative schools, the only places actually available within Burnley, without over-admission, are at Shuttleworth College, which currently has 90 spare places for September</w:t>
      </w:r>
      <w:r w:rsidRPr="005F469B">
        <w:rPr>
          <w:rFonts w:cs="Arial"/>
          <w:szCs w:val="24"/>
        </w:rPr>
        <w:t xml:space="preserve"> 2017</w:t>
      </w:r>
      <w:r w:rsidRPr="005F469B">
        <w:rPr>
          <w:rFonts w:cs="Arial"/>
          <w:szCs w:val="24"/>
        </w:rPr>
        <w:t xml:space="preserve">. </w:t>
      </w:r>
      <w:r w:rsidRPr="005F469B">
        <w:rPr>
          <w:rFonts w:cs="Arial"/>
          <w:szCs w:val="24"/>
        </w:rPr>
        <w:t xml:space="preserve"> </w:t>
      </w:r>
      <w:r w:rsidRPr="005F469B">
        <w:rPr>
          <w:rFonts w:cs="Arial"/>
          <w:szCs w:val="24"/>
        </w:rPr>
        <w:t>In total, the number of Year 7</w:t>
      </w:r>
      <w:r w:rsidRPr="005F469B">
        <w:rPr>
          <w:rFonts w:cs="Arial"/>
          <w:szCs w:val="24"/>
        </w:rPr>
        <w:t xml:space="preserve"> </w:t>
      </w:r>
      <w:r w:rsidRPr="005F469B">
        <w:rPr>
          <w:rFonts w:cs="Arial"/>
          <w:szCs w:val="24"/>
        </w:rPr>
        <w:t>places across</w:t>
      </w:r>
      <w:r w:rsidRPr="005F469B">
        <w:rPr>
          <w:rFonts w:cs="Arial"/>
          <w:szCs w:val="24"/>
        </w:rPr>
        <w:t xml:space="preserve"> all the Burnley schools</w:t>
      </w:r>
      <w:r w:rsidRPr="005F469B">
        <w:rPr>
          <w:rFonts w:cs="Arial"/>
          <w:szCs w:val="24"/>
        </w:rPr>
        <w:t xml:space="preserve">, excluding Hameldon Community College, </w:t>
      </w:r>
      <w:r w:rsidRPr="005F469B">
        <w:rPr>
          <w:rFonts w:cs="Arial"/>
          <w:szCs w:val="24"/>
        </w:rPr>
        <w:t>is lower than the number of offers made</w:t>
      </w:r>
      <w:r w:rsidRPr="005F469B">
        <w:rPr>
          <w:rFonts w:cs="Arial"/>
          <w:szCs w:val="24"/>
        </w:rPr>
        <w:t xml:space="preserve"> for September</w:t>
      </w:r>
      <w:r w:rsidRPr="005F469B">
        <w:rPr>
          <w:rFonts w:cs="Arial"/>
          <w:szCs w:val="24"/>
        </w:rPr>
        <w:t xml:space="preserve">. </w:t>
      </w:r>
      <w:r w:rsidRPr="005F469B">
        <w:rPr>
          <w:rFonts w:cs="Arial"/>
          <w:szCs w:val="24"/>
        </w:rPr>
        <w:t xml:space="preserve"> </w:t>
      </w:r>
      <w:r w:rsidRPr="005F469B">
        <w:rPr>
          <w:rFonts w:cs="Arial"/>
          <w:szCs w:val="24"/>
        </w:rPr>
        <w:t>Therefore, additional places would need to be made available for these additional pupils.</w:t>
      </w:r>
    </w:p>
    <w:p w:rsidR="00324602" w:rsidRPr="005F469B" w:rsidRDefault="005F469B" w:rsidP="00324602">
      <w:pPr>
        <w:rPr>
          <w:rFonts w:cs="Arial"/>
          <w:szCs w:val="24"/>
        </w:rPr>
      </w:pPr>
    </w:p>
    <w:p w:rsidR="008E307C" w:rsidRPr="005F469B" w:rsidRDefault="005F469B" w:rsidP="00324602">
      <w:pPr>
        <w:rPr>
          <w:rFonts w:cs="Arial"/>
          <w:szCs w:val="24"/>
        </w:rPr>
      </w:pPr>
      <w:r w:rsidRPr="005F469B">
        <w:rPr>
          <w:rFonts w:cs="Arial"/>
          <w:szCs w:val="24"/>
        </w:rPr>
        <w:t xml:space="preserve">Actual offers for </w:t>
      </w:r>
      <w:r w:rsidRPr="005F469B">
        <w:rPr>
          <w:rFonts w:cs="Arial"/>
          <w:szCs w:val="24"/>
        </w:rPr>
        <w:t xml:space="preserve">the </w:t>
      </w:r>
      <w:r w:rsidRPr="005F469B">
        <w:rPr>
          <w:rFonts w:cs="Arial"/>
          <w:szCs w:val="24"/>
        </w:rPr>
        <w:t>2017 intake currently</w:t>
      </w:r>
      <w:r w:rsidRPr="005F469B">
        <w:rPr>
          <w:rFonts w:cs="Arial"/>
          <w:szCs w:val="24"/>
        </w:rPr>
        <w:t xml:space="preserve"> stand at 1</w:t>
      </w:r>
      <w:r w:rsidRPr="005F469B">
        <w:rPr>
          <w:rFonts w:cs="Arial"/>
          <w:szCs w:val="24"/>
        </w:rPr>
        <w:t>,</w:t>
      </w:r>
      <w:r w:rsidRPr="005F469B">
        <w:rPr>
          <w:rFonts w:cs="Arial"/>
          <w:szCs w:val="24"/>
        </w:rPr>
        <w:t>033 pupils</w:t>
      </w:r>
      <w:r w:rsidRPr="005F469B">
        <w:rPr>
          <w:rFonts w:cs="Arial"/>
          <w:szCs w:val="24"/>
        </w:rPr>
        <w:t xml:space="preserve"> overall for Burnley</w:t>
      </w:r>
      <w:r w:rsidRPr="005F469B">
        <w:rPr>
          <w:rFonts w:cs="Arial"/>
          <w:szCs w:val="24"/>
        </w:rPr>
        <w:t>.</w:t>
      </w:r>
      <w:r w:rsidRPr="005F469B">
        <w:rPr>
          <w:rFonts w:cs="Arial"/>
          <w:szCs w:val="24"/>
        </w:rPr>
        <w:t xml:space="preserve"> </w:t>
      </w:r>
      <w:r w:rsidRPr="005F469B">
        <w:rPr>
          <w:rFonts w:cs="Arial"/>
          <w:szCs w:val="24"/>
        </w:rPr>
        <w:t xml:space="preserve"> This exceeds the </w:t>
      </w:r>
      <w:r w:rsidRPr="005F469B">
        <w:rPr>
          <w:rFonts w:cs="Arial"/>
          <w:szCs w:val="24"/>
        </w:rPr>
        <w:t xml:space="preserve">anticipated </w:t>
      </w:r>
      <w:r w:rsidRPr="005F469B">
        <w:rPr>
          <w:rFonts w:cs="Arial"/>
          <w:szCs w:val="24"/>
        </w:rPr>
        <w:t>forecast intake</w:t>
      </w:r>
      <w:r w:rsidRPr="005F469B">
        <w:rPr>
          <w:rFonts w:cs="Arial"/>
          <w:szCs w:val="24"/>
        </w:rPr>
        <w:t xml:space="preserve">.  </w:t>
      </w:r>
      <w:r w:rsidRPr="005F469B">
        <w:rPr>
          <w:rFonts w:cs="Arial"/>
          <w:szCs w:val="24"/>
        </w:rPr>
        <w:t xml:space="preserve">If this number </w:t>
      </w:r>
      <w:r w:rsidRPr="005F469B">
        <w:rPr>
          <w:rFonts w:cs="Arial"/>
          <w:szCs w:val="24"/>
        </w:rPr>
        <w:t>are</w:t>
      </w:r>
      <w:r w:rsidRPr="005F469B">
        <w:rPr>
          <w:rFonts w:cs="Arial"/>
          <w:szCs w:val="24"/>
        </w:rPr>
        <w:t xml:space="preserve"> actually admitted to Burnley schools, this will increase the pr</w:t>
      </w:r>
      <w:r w:rsidRPr="005F469B">
        <w:rPr>
          <w:rFonts w:cs="Arial"/>
          <w:szCs w:val="24"/>
        </w:rPr>
        <w:t xml:space="preserve">ojected position going forward.  </w:t>
      </w:r>
      <w:r w:rsidRPr="005F469B">
        <w:rPr>
          <w:rFonts w:cs="Arial"/>
          <w:szCs w:val="24"/>
        </w:rPr>
        <w:t>Further information regarding the projected numbe</w:t>
      </w:r>
      <w:r w:rsidRPr="005F469B">
        <w:rPr>
          <w:rFonts w:cs="Arial"/>
          <w:szCs w:val="24"/>
        </w:rPr>
        <w:t>rs for the Burnley schools is given in</w:t>
      </w:r>
      <w:r w:rsidRPr="005F469B">
        <w:rPr>
          <w:rFonts w:cs="Arial"/>
          <w:szCs w:val="24"/>
        </w:rPr>
        <w:t xml:space="preserve"> the table below and also in Appendix 'B'.  </w:t>
      </w:r>
    </w:p>
    <w:p w:rsidR="008E307C" w:rsidRPr="005F469B" w:rsidRDefault="005F469B" w:rsidP="00324602">
      <w:pPr>
        <w:rPr>
          <w:rFonts w:cs="Arial"/>
          <w:szCs w:val="24"/>
        </w:rPr>
      </w:pPr>
    </w:p>
    <w:p w:rsidR="00324602" w:rsidRPr="005F469B" w:rsidRDefault="005F469B" w:rsidP="00324602">
      <w:pPr>
        <w:rPr>
          <w:rFonts w:cs="Arial"/>
          <w:szCs w:val="24"/>
        </w:rPr>
      </w:pPr>
      <w:r w:rsidRPr="005F469B">
        <w:rPr>
          <w:rFonts w:cs="Arial"/>
          <w:szCs w:val="24"/>
        </w:rPr>
        <w:t xml:space="preserve">In summary, </w:t>
      </w:r>
      <w:r w:rsidRPr="005F469B">
        <w:rPr>
          <w:rFonts w:cs="Arial"/>
          <w:szCs w:val="24"/>
        </w:rPr>
        <w:t xml:space="preserve">this information shows </w:t>
      </w:r>
      <w:r w:rsidRPr="005F469B">
        <w:rPr>
          <w:rFonts w:cs="Arial"/>
          <w:szCs w:val="24"/>
        </w:rPr>
        <w:t>that, if</w:t>
      </w:r>
      <w:r w:rsidRPr="005F469B">
        <w:rPr>
          <w:rFonts w:cs="Arial"/>
          <w:szCs w:val="24"/>
        </w:rPr>
        <w:t xml:space="preserve"> the school </w:t>
      </w:r>
      <w:r w:rsidRPr="005F469B">
        <w:rPr>
          <w:rFonts w:cs="Arial"/>
          <w:szCs w:val="24"/>
        </w:rPr>
        <w:t>were to close, additional spaces in some year groups within existing capacity would be required from immediate effect</w:t>
      </w:r>
      <w:r w:rsidRPr="005F469B">
        <w:rPr>
          <w:rFonts w:cs="Arial"/>
          <w:szCs w:val="24"/>
        </w:rPr>
        <w:t xml:space="preserve"> to accommodate existing pupils. </w:t>
      </w:r>
      <w:r w:rsidRPr="005F469B">
        <w:rPr>
          <w:rFonts w:cs="Arial"/>
          <w:szCs w:val="24"/>
        </w:rPr>
        <w:t xml:space="preserve"> </w:t>
      </w:r>
      <w:r w:rsidRPr="005F469B">
        <w:rPr>
          <w:rFonts w:cs="Arial"/>
          <w:szCs w:val="24"/>
        </w:rPr>
        <w:t>However, the shortfall in 5 years</w:t>
      </w:r>
      <w:r w:rsidRPr="005F469B">
        <w:rPr>
          <w:rFonts w:cs="Arial"/>
          <w:szCs w:val="24"/>
        </w:rPr>
        <w:t xml:space="preserve">, </w:t>
      </w:r>
      <w:r w:rsidRPr="005F469B">
        <w:rPr>
          <w:rFonts w:cs="Arial"/>
          <w:szCs w:val="24"/>
        </w:rPr>
        <w:t>with the impact of planned housing and current levels of migration</w:t>
      </w:r>
      <w:r w:rsidRPr="005F469B">
        <w:rPr>
          <w:rFonts w:cs="Arial"/>
          <w:szCs w:val="24"/>
        </w:rPr>
        <w:t xml:space="preserve">, </w:t>
      </w:r>
      <w:r w:rsidRPr="005F469B">
        <w:rPr>
          <w:rFonts w:cs="Arial"/>
          <w:szCs w:val="24"/>
        </w:rPr>
        <w:t xml:space="preserve">without the capacity at </w:t>
      </w:r>
      <w:r w:rsidRPr="005F469B">
        <w:rPr>
          <w:rFonts w:cs="Arial"/>
          <w:szCs w:val="24"/>
        </w:rPr>
        <w:t>the school</w:t>
      </w:r>
      <w:r w:rsidRPr="005F469B">
        <w:rPr>
          <w:rFonts w:cs="Arial"/>
          <w:szCs w:val="24"/>
        </w:rPr>
        <w:t xml:space="preserve"> is </w:t>
      </w:r>
      <w:r w:rsidRPr="005F469B">
        <w:rPr>
          <w:rFonts w:cs="Arial"/>
          <w:szCs w:val="24"/>
        </w:rPr>
        <w:t>600</w:t>
      </w:r>
      <w:r w:rsidRPr="005F469B">
        <w:rPr>
          <w:rFonts w:cs="Arial"/>
          <w:szCs w:val="24"/>
        </w:rPr>
        <w:t xml:space="preserve"> places. </w:t>
      </w:r>
      <w:r w:rsidRPr="005F469B">
        <w:rPr>
          <w:rFonts w:cs="Arial"/>
          <w:szCs w:val="24"/>
        </w:rPr>
        <w:t xml:space="preserve"> </w:t>
      </w:r>
      <w:r w:rsidRPr="005F469B">
        <w:rPr>
          <w:rFonts w:cs="Arial"/>
          <w:szCs w:val="24"/>
        </w:rPr>
        <w:t>This could rise further to approximately 620 places in the following</w:t>
      </w:r>
      <w:r w:rsidRPr="005F469B">
        <w:rPr>
          <w:rFonts w:cs="Arial"/>
          <w:szCs w:val="24"/>
        </w:rPr>
        <w:t xml:space="preserve"> two years. </w:t>
      </w:r>
      <w:r w:rsidRPr="005F469B">
        <w:rPr>
          <w:rFonts w:cs="Arial"/>
          <w:szCs w:val="24"/>
        </w:rPr>
        <w:t xml:space="preserve"> </w:t>
      </w:r>
      <w:r w:rsidRPr="005F469B">
        <w:rPr>
          <w:rFonts w:cs="Arial"/>
          <w:szCs w:val="24"/>
        </w:rPr>
        <w:t xml:space="preserve">Additional physical capacity is required to accommodate these pupils, either in the existing </w:t>
      </w:r>
      <w:r w:rsidRPr="005F469B">
        <w:rPr>
          <w:rFonts w:cs="Arial"/>
          <w:szCs w:val="24"/>
        </w:rPr>
        <w:t xml:space="preserve">school </w:t>
      </w:r>
      <w:r w:rsidRPr="005F469B">
        <w:rPr>
          <w:rFonts w:cs="Arial"/>
          <w:szCs w:val="24"/>
        </w:rPr>
        <w:t>building</w:t>
      </w:r>
      <w:r w:rsidRPr="005F469B">
        <w:rPr>
          <w:rFonts w:cs="Arial"/>
          <w:szCs w:val="24"/>
        </w:rPr>
        <w:t>, which is a Public Finance Initiative (PFI) b</w:t>
      </w:r>
      <w:r w:rsidRPr="005F469B">
        <w:rPr>
          <w:rFonts w:cs="Arial"/>
          <w:szCs w:val="24"/>
        </w:rPr>
        <w:t>uilding</w:t>
      </w:r>
      <w:r w:rsidRPr="005F469B">
        <w:rPr>
          <w:rFonts w:cs="Arial"/>
          <w:szCs w:val="24"/>
        </w:rPr>
        <w:t xml:space="preserve">, </w:t>
      </w:r>
      <w:r w:rsidRPr="005F469B">
        <w:rPr>
          <w:rFonts w:cs="Arial"/>
          <w:szCs w:val="24"/>
        </w:rPr>
        <w:t xml:space="preserve">or by the expansion of other schools. </w:t>
      </w:r>
      <w:r w:rsidRPr="005F469B">
        <w:rPr>
          <w:rFonts w:cs="Arial"/>
          <w:szCs w:val="24"/>
        </w:rPr>
        <w:t xml:space="preserve"> </w:t>
      </w:r>
      <w:r w:rsidRPr="005F469B">
        <w:rPr>
          <w:rFonts w:cs="Arial"/>
          <w:szCs w:val="24"/>
        </w:rPr>
        <w:t xml:space="preserve">This capacity </w:t>
      </w:r>
      <w:r w:rsidRPr="005F469B">
        <w:rPr>
          <w:rFonts w:cs="Arial"/>
          <w:szCs w:val="24"/>
        </w:rPr>
        <w:t>starts to be</w:t>
      </w:r>
      <w:r w:rsidRPr="005F469B">
        <w:rPr>
          <w:rFonts w:cs="Arial"/>
          <w:szCs w:val="24"/>
        </w:rPr>
        <w:t xml:space="preserve"> required from </w:t>
      </w:r>
      <w:r w:rsidRPr="005F469B">
        <w:rPr>
          <w:rFonts w:cs="Arial"/>
          <w:szCs w:val="24"/>
        </w:rPr>
        <w:t>September 2018, when the total number on roll exceeds the net capacity of all other secondary schools in Burnley.</w:t>
      </w:r>
    </w:p>
    <w:p w:rsidR="00324602" w:rsidRPr="005F469B" w:rsidRDefault="005F469B" w:rsidP="00324602">
      <w:pPr>
        <w:rPr>
          <w:rFonts w:cs="Arial"/>
          <w:szCs w:val="24"/>
        </w:rPr>
      </w:pPr>
    </w:p>
    <w:p w:rsidR="00324602" w:rsidRPr="005F469B" w:rsidRDefault="005F469B" w:rsidP="00324602">
      <w:pPr>
        <w:rPr>
          <w:rFonts w:cs="Arial"/>
          <w:szCs w:val="24"/>
        </w:rPr>
      </w:pPr>
      <w:r w:rsidRPr="005F469B">
        <w:rPr>
          <w:rFonts w:cs="Arial"/>
          <w:szCs w:val="24"/>
        </w:rPr>
        <w:t xml:space="preserve">If additional places were to be provided on alternative sites, </w:t>
      </w:r>
      <w:r w:rsidRPr="005F469B">
        <w:rPr>
          <w:rFonts w:cs="Arial"/>
          <w:szCs w:val="24"/>
        </w:rPr>
        <w:t xml:space="preserve">an initial assessment of </w:t>
      </w:r>
      <w:r w:rsidRPr="005F469B">
        <w:rPr>
          <w:rFonts w:cs="Arial"/>
          <w:szCs w:val="24"/>
        </w:rPr>
        <w:t>current records show that</w:t>
      </w:r>
      <w:r w:rsidRPr="005F469B">
        <w:rPr>
          <w:rFonts w:cs="Arial"/>
          <w:szCs w:val="24"/>
        </w:rPr>
        <w:t xml:space="preserve"> only </w:t>
      </w:r>
      <w:r w:rsidRPr="005F469B">
        <w:rPr>
          <w:rFonts w:cs="Arial"/>
          <w:szCs w:val="24"/>
        </w:rPr>
        <w:t>Shuttleworth College a</w:t>
      </w:r>
      <w:r w:rsidRPr="005F469B">
        <w:rPr>
          <w:rFonts w:cs="Arial"/>
          <w:szCs w:val="24"/>
        </w:rPr>
        <w:t>nd Unity College have sufficient site area to support any physical expansion going forward in compliance with Section 77 (Regulations relating to the protection of school playing fields).</w:t>
      </w:r>
    </w:p>
    <w:p w:rsidR="00324602" w:rsidRPr="005F469B" w:rsidRDefault="005F469B" w:rsidP="00324602">
      <w:pPr>
        <w:rPr>
          <w:rFonts w:cs="Arial"/>
          <w:b/>
          <w:szCs w:val="24"/>
        </w:rPr>
      </w:pPr>
      <w:r w:rsidRPr="005F469B">
        <w:rPr>
          <w:rFonts w:cs="Arial"/>
          <w:b/>
          <w:szCs w:val="24"/>
        </w:rPr>
        <w:lastRenderedPageBreak/>
        <w:t>Table 1: Burnley Pupil N</w:t>
      </w:r>
      <w:r w:rsidRPr="005F469B">
        <w:rPr>
          <w:rFonts w:cs="Arial"/>
          <w:b/>
          <w:szCs w:val="24"/>
        </w:rPr>
        <w:t>umbers</w:t>
      </w:r>
    </w:p>
    <w:p w:rsidR="008E307C" w:rsidRPr="005F469B" w:rsidRDefault="005F469B" w:rsidP="00324602">
      <w:pPr>
        <w:rPr>
          <w:rFonts w:cs="Arial"/>
          <w:b/>
          <w:szCs w:val="24"/>
          <w:highlight w:val="yellow"/>
        </w:rPr>
      </w:pPr>
    </w:p>
    <w:tbl>
      <w:tblPr>
        <w:tblStyle w:val="TableGrid"/>
        <w:tblW w:w="9356" w:type="dxa"/>
        <w:tblInd w:w="-157"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977"/>
        <w:gridCol w:w="1418"/>
        <w:gridCol w:w="1559"/>
        <w:gridCol w:w="1985"/>
        <w:gridCol w:w="1417"/>
      </w:tblGrid>
      <w:tr w:rsidR="004E3FA6" w:rsidRPr="005F469B" w:rsidTr="00177959">
        <w:tc>
          <w:tcPr>
            <w:tcW w:w="2977" w:type="dxa"/>
          </w:tcPr>
          <w:p w:rsidR="00324602" w:rsidRPr="005F469B" w:rsidRDefault="005F469B" w:rsidP="008E307C">
            <w:pPr>
              <w:rPr>
                <w:rFonts w:cs="Arial"/>
                <w:szCs w:val="24"/>
              </w:rPr>
            </w:pPr>
            <w:r w:rsidRPr="005F469B">
              <w:rPr>
                <w:rFonts w:cs="Arial"/>
                <w:szCs w:val="24"/>
              </w:rPr>
              <w:t>School</w:t>
            </w:r>
          </w:p>
        </w:tc>
        <w:tc>
          <w:tcPr>
            <w:tcW w:w="1418" w:type="dxa"/>
          </w:tcPr>
          <w:p w:rsidR="00324602" w:rsidRPr="005F469B" w:rsidRDefault="005F469B" w:rsidP="008E307C">
            <w:pPr>
              <w:jc w:val="center"/>
              <w:rPr>
                <w:rFonts w:cs="Arial"/>
                <w:szCs w:val="24"/>
              </w:rPr>
            </w:pPr>
            <w:r w:rsidRPr="005F469B">
              <w:rPr>
                <w:rFonts w:cs="Arial"/>
                <w:szCs w:val="24"/>
              </w:rPr>
              <w:t>NOR 11-16</w:t>
            </w:r>
          </w:p>
          <w:p w:rsidR="00324602" w:rsidRPr="005F469B" w:rsidRDefault="005F469B" w:rsidP="008E307C">
            <w:pPr>
              <w:jc w:val="center"/>
              <w:rPr>
                <w:rFonts w:cs="Arial"/>
                <w:szCs w:val="24"/>
              </w:rPr>
            </w:pPr>
            <w:r w:rsidRPr="005F469B">
              <w:rPr>
                <w:rFonts w:cs="Arial"/>
                <w:szCs w:val="24"/>
              </w:rPr>
              <w:t>January  2017</w:t>
            </w:r>
          </w:p>
        </w:tc>
        <w:tc>
          <w:tcPr>
            <w:tcW w:w="1559" w:type="dxa"/>
          </w:tcPr>
          <w:p w:rsidR="00324602" w:rsidRPr="005F469B" w:rsidRDefault="005F469B" w:rsidP="008E307C">
            <w:pPr>
              <w:jc w:val="center"/>
              <w:rPr>
                <w:rFonts w:cs="Arial"/>
                <w:szCs w:val="24"/>
              </w:rPr>
            </w:pPr>
            <w:r w:rsidRPr="005F469B">
              <w:rPr>
                <w:rFonts w:cs="Arial"/>
                <w:szCs w:val="24"/>
              </w:rPr>
              <w:t>Published Admission</w:t>
            </w:r>
          </w:p>
          <w:p w:rsidR="00324602" w:rsidRPr="005F469B" w:rsidRDefault="005F469B" w:rsidP="008E307C">
            <w:pPr>
              <w:jc w:val="center"/>
              <w:rPr>
                <w:rFonts w:cs="Arial"/>
                <w:szCs w:val="24"/>
              </w:rPr>
            </w:pPr>
            <w:r w:rsidRPr="005F469B">
              <w:rPr>
                <w:rFonts w:cs="Arial"/>
                <w:szCs w:val="24"/>
              </w:rPr>
              <w:t>Number (Capacity)</w:t>
            </w:r>
          </w:p>
        </w:tc>
        <w:tc>
          <w:tcPr>
            <w:tcW w:w="1985" w:type="dxa"/>
          </w:tcPr>
          <w:p w:rsidR="00324602" w:rsidRPr="005F469B" w:rsidRDefault="005F469B" w:rsidP="008E307C">
            <w:pPr>
              <w:jc w:val="center"/>
              <w:rPr>
                <w:rFonts w:cs="Arial"/>
                <w:szCs w:val="24"/>
              </w:rPr>
            </w:pPr>
            <w:r w:rsidRPr="005F469B">
              <w:rPr>
                <w:rFonts w:cs="Arial"/>
                <w:szCs w:val="24"/>
              </w:rPr>
              <w:t>Expected</w:t>
            </w:r>
          </w:p>
          <w:p w:rsidR="00324602" w:rsidRPr="005F469B" w:rsidRDefault="005F469B" w:rsidP="008E307C">
            <w:pPr>
              <w:jc w:val="center"/>
              <w:rPr>
                <w:rFonts w:cs="Arial"/>
                <w:szCs w:val="24"/>
              </w:rPr>
            </w:pPr>
            <w:r w:rsidRPr="005F469B">
              <w:rPr>
                <w:rFonts w:cs="Arial"/>
                <w:szCs w:val="24"/>
              </w:rPr>
              <w:t xml:space="preserve">NOR 11-16 </w:t>
            </w:r>
            <w:r w:rsidRPr="005F469B">
              <w:rPr>
                <w:rFonts w:cs="Arial"/>
                <w:szCs w:val="24"/>
              </w:rPr>
              <w:br/>
              <w:t>October 2017</w:t>
            </w:r>
          </w:p>
          <w:p w:rsidR="00324602" w:rsidRPr="005F469B" w:rsidRDefault="005F469B" w:rsidP="008E307C">
            <w:pPr>
              <w:jc w:val="center"/>
              <w:rPr>
                <w:rFonts w:cs="Arial"/>
                <w:szCs w:val="24"/>
              </w:rPr>
            </w:pPr>
            <w:r w:rsidRPr="005F469B">
              <w:rPr>
                <w:rFonts w:cs="Arial"/>
                <w:szCs w:val="24"/>
              </w:rPr>
              <w:t>with September offers</w:t>
            </w:r>
          </w:p>
        </w:tc>
        <w:tc>
          <w:tcPr>
            <w:tcW w:w="1417" w:type="dxa"/>
          </w:tcPr>
          <w:p w:rsidR="00324602" w:rsidRPr="005F469B" w:rsidRDefault="005F469B" w:rsidP="008E307C">
            <w:pPr>
              <w:jc w:val="center"/>
              <w:rPr>
                <w:rFonts w:cs="Arial"/>
                <w:szCs w:val="24"/>
              </w:rPr>
            </w:pPr>
            <w:r w:rsidRPr="005F469B">
              <w:rPr>
                <w:rFonts w:cs="Arial"/>
                <w:szCs w:val="24"/>
              </w:rPr>
              <w:t>First Preferences for 2017</w:t>
            </w:r>
          </w:p>
        </w:tc>
      </w:tr>
      <w:tr w:rsidR="004E3FA6" w:rsidRPr="005F469B" w:rsidTr="00177959">
        <w:tc>
          <w:tcPr>
            <w:tcW w:w="2977" w:type="dxa"/>
          </w:tcPr>
          <w:p w:rsidR="00324602" w:rsidRPr="005F469B" w:rsidRDefault="005F469B" w:rsidP="008E307C">
            <w:pPr>
              <w:rPr>
                <w:rFonts w:cs="Arial"/>
                <w:szCs w:val="24"/>
              </w:rPr>
            </w:pPr>
            <w:r w:rsidRPr="005F469B">
              <w:rPr>
                <w:rFonts w:cs="Arial"/>
                <w:szCs w:val="24"/>
              </w:rPr>
              <w:t xml:space="preserve">Hameldon Community College </w:t>
            </w:r>
          </w:p>
        </w:tc>
        <w:tc>
          <w:tcPr>
            <w:tcW w:w="1418" w:type="dxa"/>
          </w:tcPr>
          <w:p w:rsidR="00324602" w:rsidRPr="005F469B" w:rsidRDefault="005F469B" w:rsidP="008E307C">
            <w:pPr>
              <w:jc w:val="center"/>
              <w:rPr>
                <w:rFonts w:cs="Arial"/>
                <w:szCs w:val="24"/>
              </w:rPr>
            </w:pPr>
            <w:r w:rsidRPr="005F469B">
              <w:rPr>
                <w:rFonts w:cs="Arial"/>
                <w:szCs w:val="24"/>
              </w:rPr>
              <w:t>296</w:t>
            </w:r>
          </w:p>
        </w:tc>
        <w:tc>
          <w:tcPr>
            <w:tcW w:w="1559" w:type="dxa"/>
          </w:tcPr>
          <w:p w:rsidR="00324602" w:rsidRPr="005F469B" w:rsidRDefault="005F469B" w:rsidP="008E307C">
            <w:pPr>
              <w:jc w:val="center"/>
              <w:rPr>
                <w:rFonts w:cs="Arial"/>
                <w:szCs w:val="24"/>
              </w:rPr>
            </w:pPr>
            <w:r w:rsidRPr="005F469B">
              <w:rPr>
                <w:rFonts w:cs="Arial"/>
                <w:szCs w:val="24"/>
              </w:rPr>
              <w:t>150 (750)</w:t>
            </w:r>
          </w:p>
        </w:tc>
        <w:tc>
          <w:tcPr>
            <w:tcW w:w="1985" w:type="dxa"/>
          </w:tcPr>
          <w:p w:rsidR="00324602" w:rsidRPr="005F469B" w:rsidRDefault="005F469B" w:rsidP="008E307C">
            <w:pPr>
              <w:jc w:val="center"/>
              <w:rPr>
                <w:rFonts w:cs="Arial"/>
                <w:szCs w:val="24"/>
              </w:rPr>
            </w:pPr>
            <w:r w:rsidRPr="005F469B">
              <w:rPr>
                <w:rFonts w:cs="Arial"/>
                <w:szCs w:val="24"/>
              </w:rPr>
              <w:t>344</w:t>
            </w:r>
          </w:p>
        </w:tc>
        <w:tc>
          <w:tcPr>
            <w:tcW w:w="1417" w:type="dxa"/>
          </w:tcPr>
          <w:p w:rsidR="00324602" w:rsidRPr="005F469B" w:rsidRDefault="005F469B" w:rsidP="008E307C">
            <w:pPr>
              <w:jc w:val="center"/>
              <w:rPr>
                <w:rFonts w:cs="Arial"/>
                <w:szCs w:val="24"/>
              </w:rPr>
            </w:pPr>
            <w:r w:rsidRPr="005F469B">
              <w:rPr>
                <w:rFonts w:cs="Arial"/>
                <w:szCs w:val="24"/>
              </w:rPr>
              <w:t>35</w:t>
            </w:r>
          </w:p>
        </w:tc>
      </w:tr>
      <w:tr w:rsidR="004E3FA6" w:rsidRPr="005F469B" w:rsidTr="00177959">
        <w:tc>
          <w:tcPr>
            <w:tcW w:w="2977" w:type="dxa"/>
          </w:tcPr>
          <w:p w:rsidR="00324602" w:rsidRPr="005F469B" w:rsidRDefault="005F469B" w:rsidP="008E307C">
            <w:pPr>
              <w:rPr>
                <w:rFonts w:cs="Arial"/>
                <w:szCs w:val="24"/>
              </w:rPr>
            </w:pPr>
            <w:r w:rsidRPr="005F469B">
              <w:rPr>
                <w:rFonts w:cs="Arial"/>
                <w:szCs w:val="24"/>
              </w:rPr>
              <w:t>Sir John Thursby Community College</w:t>
            </w:r>
          </w:p>
        </w:tc>
        <w:tc>
          <w:tcPr>
            <w:tcW w:w="1418" w:type="dxa"/>
          </w:tcPr>
          <w:p w:rsidR="00324602" w:rsidRPr="005F469B" w:rsidRDefault="005F469B" w:rsidP="008E307C">
            <w:pPr>
              <w:jc w:val="center"/>
              <w:rPr>
                <w:rFonts w:cs="Arial"/>
                <w:szCs w:val="24"/>
              </w:rPr>
            </w:pPr>
            <w:r w:rsidRPr="005F469B">
              <w:rPr>
                <w:rFonts w:cs="Arial"/>
                <w:szCs w:val="24"/>
              </w:rPr>
              <w:t>1,064</w:t>
            </w:r>
          </w:p>
        </w:tc>
        <w:tc>
          <w:tcPr>
            <w:tcW w:w="1559" w:type="dxa"/>
          </w:tcPr>
          <w:p w:rsidR="00324602" w:rsidRPr="005F469B" w:rsidRDefault="005F469B" w:rsidP="00007C2A">
            <w:pPr>
              <w:jc w:val="center"/>
              <w:rPr>
                <w:rFonts w:cs="Arial"/>
                <w:szCs w:val="24"/>
              </w:rPr>
            </w:pPr>
            <w:r w:rsidRPr="005F469B">
              <w:rPr>
                <w:rFonts w:cs="Arial"/>
                <w:szCs w:val="24"/>
              </w:rPr>
              <w:t>2</w:t>
            </w:r>
            <w:r w:rsidRPr="005F469B">
              <w:rPr>
                <w:rFonts w:cs="Arial"/>
                <w:szCs w:val="24"/>
              </w:rPr>
              <w:t>10</w:t>
            </w:r>
            <w:r w:rsidRPr="005F469B">
              <w:rPr>
                <w:rFonts w:cs="Arial"/>
                <w:szCs w:val="24"/>
              </w:rPr>
              <w:t xml:space="preserve"> (1,</w:t>
            </w:r>
            <w:r w:rsidRPr="005F469B">
              <w:rPr>
                <w:rFonts w:cs="Arial"/>
                <w:szCs w:val="24"/>
              </w:rPr>
              <w:t>050</w:t>
            </w:r>
            <w:r w:rsidRPr="005F469B">
              <w:rPr>
                <w:rFonts w:cs="Arial"/>
                <w:szCs w:val="24"/>
              </w:rPr>
              <w:t>)</w:t>
            </w:r>
          </w:p>
        </w:tc>
        <w:tc>
          <w:tcPr>
            <w:tcW w:w="1985" w:type="dxa"/>
          </w:tcPr>
          <w:p w:rsidR="00324602" w:rsidRPr="005F469B" w:rsidRDefault="005F469B" w:rsidP="008E307C">
            <w:pPr>
              <w:jc w:val="center"/>
              <w:rPr>
                <w:rFonts w:cs="Arial"/>
                <w:szCs w:val="24"/>
              </w:rPr>
            </w:pPr>
            <w:r w:rsidRPr="005F469B">
              <w:rPr>
                <w:rFonts w:cs="Arial"/>
                <w:szCs w:val="24"/>
              </w:rPr>
              <w:t>1,084</w:t>
            </w:r>
          </w:p>
        </w:tc>
        <w:tc>
          <w:tcPr>
            <w:tcW w:w="1417" w:type="dxa"/>
          </w:tcPr>
          <w:p w:rsidR="00324602" w:rsidRPr="005F469B" w:rsidRDefault="005F469B" w:rsidP="008E307C">
            <w:pPr>
              <w:jc w:val="center"/>
              <w:rPr>
                <w:rFonts w:cs="Arial"/>
                <w:szCs w:val="24"/>
              </w:rPr>
            </w:pPr>
            <w:r w:rsidRPr="005F469B">
              <w:rPr>
                <w:rFonts w:cs="Arial"/>
                <w:szCs w:val="24"/>
              </w:rPr>
              <w:t>177</w:t>
            </w:r>
          </w:p>
        </w:tc>
      </w:tr>
      <w:tr w:rsidR="004E3FA6" w:rsidRPr="005F469B" w:rsidTr="00177959">
        <w:tc>
          <w:tcPr>
            <w:tcW w:w="2977" w:type="dxa"/>
          </w:tcPr>
          <w:p w:rsidR="00324602" w:rsidRPr="005F469B" w:rsidRDefault="005F469B" w:rsidP="00007C2A">
            <w:pPr>
              <w:rPr>
                <w:rFonts w:cs="Arial"/>
                <w:szCs w:val="24"/>
              </w:rPr>
            </w:pPr>
            <w:r w:rsidRPr="005F469B">
              <w:rPr>
                <w:rFonts w:cs="Arial"/>
                <w:szCs w:val="24"/>
              </w:rPr>
              <w:t xml:space="preserve">Burnley </w:t>
            </w:r>
            <w:r w:rsidRPr="005F469B">
              <w:rPr>
                <w:rFonts w:cs="Arial"/>
                <w:szCs w:val="24"/>
              </w:rPr>
              <w:t>High</w:t>
            </w:r>
            <w:r w:rsidRPr="005F469B">
              <w:rPr>
                <w:rFonts w:cs="Arial"/>
                <w:szCs w:val="24"/>
              </w:rPr>
              <w:t xml:space="preserve"> School</w:t>
            </w:r>
          </w:p>
        </w:tc>
        <w:tc>
          <w:tcPr>
            <w:tcW w:w="1418" w:type="dxa"/>
          </w:tcPr>
          <w:p w:rsidR="00324602" w:rsidRPr="005F469B" w:rsidRDefault="005F469B" w:rsidP="008E307C">
            <w:pPr>
              <w:jc w:val="center"/>
              <w:rPr>
                <w:rFonts w:cs="Arial"/>
                <w:szCs w:val="24"/>
              </w:rPr>
            </w:pPr>
            <w:r w:rsidRPr="005F469B">
              <w:rPr>
                <w:rFonts w:cs="Arial"/>
                <w:szCs w:val="24"/>
              </w:rPr>
              <w:t>227</w:t>
            </w:r>
          </w:p>
        </w:tc>
        <w:tc>
          <w:tcPr>
            <w:tcW w:w="1559" w:type="dxa"/>
          </w:tcPr>
          <w:p w:rsidR="00324602" w:rsidRPr="005F469B" w:rsidRDefault="005F469B" w:rsidP="008E307C">
            <w:pPr>
              <w:jc w:val="center"/>
              <w:rPr>
                <w:rFonts w:cs="Arial"/>
                <w:szCs w:val="24"/>
              </w:rPr>
            </w:pPr>
            <w:r w:rsidRPr="005F469B">
              <w:rPr>
                <w:rFonts w:cs="Arial"/>
                <w:szCs w:val="24"/>
              </w:rPr>
              <w:t>90 (450)</w:t>
            </w:r>
          </w:p>
        </w:tc>
        <w:tc>
          <w:tcPr>
            <w:tcW w:w="1985" w:type="dxa"/>
          </w:tcPr>
          <w:p w:rsidR="00324602" w:rsidRPr="005F469B" w:rsidRDefault="005F469B" w:rsidP="008E307C">
            <w:pPr>
              <w:jc w:val="center"/>
              <w:rPr>
                <w:rFonts w:cs="Arial"/>
                <w:szCs w:val="24"/>
              </w:rPr>
            </w:pPr>
            <w:r w:rsidRPr="005F469B">
              <w:rPr>
                <w:rFonts w:cs="Arial"/>
                <w:szCs w:val="24"/>
              </w:rPr>
              <w:t>318 (Y7-Y9 only)</w:t>
            </w:r>
          </w:p>
        </w:tc>
        <w:tc>
          <w:tcPr>
            <w:tcW w:w="1417" w:type="dxa"/>
          </w:tcPr>
          <w:p w:rsidR="00324602" w:rsidRPr="005F469B" w:rsidRDefault="005F469B" w:rsidP="008E307C">
            <w:pPr>
              <w:jc w:val="center"/>
              <w:rPr>
                <w:rFonts w:cs="Arial"/>
                <w:szCs w:val="24"/>
              </w:rPr>
            </w:pPr>
            <w:r w:rsidRPr="005F469B">
              <w:rPr>
                <w:rFonts w:cs="Arial"/>
                <w:szCs w:val="24"/>
              </w:rPr>
              <w:t>126</w:t>
            </w:r>
          </w:p>
        </w:tc>
      </w:tr>
      <w:tr w:rsidR="004E3FA6" w:rsidRPr="005F469B" w:rsidTr="00177959">
        <w:tc>
          <w:tcPr>
            <w:tcW w:w="2977" w:type="dxa"/>
          </w:tcPr>
          <w:p w:rsidR="00324602" w:rsidRPr="005F469B" w:rsidRDefault="005F469B" w:rsidP="008E307C">
            <w:pPr>
              <w:rPr>
                <w:rFonts w:cs="Arial"/>
                <w:szCs w:val="24"/>
              </w:rPr>
            </w:pPr>
            <w:r w:rsidRPr="005F469B">
              <w:rPr>
                <w:rFonts w:cs="Arial"/>
                <w:szCs w:val="24"/>
              </w:rPr>
              <w:t>Unity College</w:t>
            </w:r>
          </w:p>
        </w:tc>
        <w:tc>
          <w:tcPr>
            <w:tcW w:w="1418" w:type="dxa"/>
          </w:tcPr>
          <w:p w:rsidR="00324602" w:rsidRPr="005F469B" w:rsidRDefault="005F469B" w:rsidP="008E307C">
            <w:pPr>
              <w:jc w:val="center"/>
              <w:rPr>
                <w:rFonts w:cs="Arial"/>
                <w:szCs w:val="24"/>
              </w:rPr>
            </w:pPr>
            <w:r w:rsidRPr="005F469B">
              <w:rPr>
                <w:rFonts w:cs="Arial"/>
                <w:szCs w:val="24"/>
              </w:rPr>
              <w:t>1,053</w:t>
            </w:r>
          </w:p>
        </w:tc>
        <w:tc>
          <w:tcPr>
            <w:tcW w:w="1559" w:type="dxa"/>
          </w:tcPr>
          <w:p w:rsidR="00324602" w:rsidRPr="005F469B" w:rsidRDefault="005F469B" w:rsidP="008E307C">
            <w:pPr>
              <w:jc w:val="center"/>
              <w:rPr>
                <w:rFonts w:cs="Arial"/>
                <w:szCs w:val="24"/>
              </w:rPr>
            </w:pPr>
            <w:r w:rsidRPr="005F469B">
              <w:rPr>
                <w:rFonts w:cs="Arial"/>
                <w:szCs w:val="24"/>
              </w:rPr>
              <w:t>240 (1,200)</w:t>
            </w:r>
          </w:p>
        </w:tc>
        <w:tc>
          <w:tcPr>
            <w:tcW w:w="1985" w:type="dxa"/>
          </w:tcPr>
          <w:p w:rsidR="00324602" w:rsidRPr="005F469B" w:rsidRDefault="005F469B" w:rsidP="008E307C">
            <w:pPr>
              <w:jc w:val="center"/>
              <w:rPr>
                <w:rFonts w:cs="Arial"/>
                <w:szCs w:val="24"/>
              </w:rPr>
            </w:pPr>
            <w:r w:rsidRPr="005F469B">
              <w:rPr>
                <w:rFonts w:cs="Arial"/>
                <w:szCs w:val="24"/>
              </w:rPr>
              <w:t>1,118</w:t>
            </w:r>
          </w:p>
        </w:tc>
        <w:tc>
          <w:tcPr>
            <w:tcW w:w="1417" w:type="dxa"/>
          </w:tcPr>
          <w:p w:rsidR="00324602" w:rsidRPr="005F469B" w:rsidRDefault="005F469B" w:rsidP="008E307C">
            <w:pPr>
              <w:jc w:val="center"/>
              <w:rPr>
                <w:rFonts w:cs="Arial"/>
                <w:szCs w:val="24"/>
              </w:rPr>
            </w:pPr>
            <w:r w:rsidRPr="005F469B">
              <w:rPr>
                <w:rFonts w:cs="Arial"/>
                <w:szCs w:val="24"/>
              </w:rPr>
              <w:t>266</w:t>
            </w:r>
          </w:p>
        </w:tc>
      </w:tr>
      <w:tr w:rsidR="004E3FA6" w:rsidRPr="005F469B" w:rsidTr="00177959">
        <w:tc>
          <w:tcPr>
            <w:tcW w:w="2977" w:type="dxa"/>
          </w:tcPr>
          <w:p w:rsidR="00324602" w:rsidRPr="005F469B" w:rsidRDefault="005F469B" w:rsidP="008E307C">
            <w:pPr>
              <w:rPr>
                <w:rFonts w:cs="Arial"/>
                <w:szCs w:val="24"/>
              </w:rPr>
            </w:pPr>
            <w:r w:rsidRPr="005F469B">
              <w:rPr>
                <w:rFonts w:cs="Arial"/>
                <w:szCs w:val="24"/>
              </w:rPr>
              <w:t>Blessed Trinity RC College</w:t>
            </w:r>
          </w:p>
        </w:tc>
        <w:tc>
          <w:tcPr>
            <w:tcW w:w="1418" w:type="dxa"/>
          </w:tcPr>
          <w:p w:rsidR="00324602" w:rsidRPr="005F469B" w:rsidRDefault="005F469B" w:rsidP="008E307C">
            <w:pPr>
              <w:jc w:val="center"/>
              <w:rPr>
                <w:rFonts w:cs="Arial"/>
                <w:szCs w:val="24"/>
              </w:rPr>
            </w:pPr>
            <w:r w:rsidRPr="005F469B">
              <w:rPr>
                <w:rFonts w:cs="Arial"/>
                <w:szCs w:val="24"/>
              </w:rPr>
              <w:t>1,272</w:t>
            </w:r>
          </w:p>
        </w:tc>
        <w:tc>
          <w:tcPr>
            <w:tcW w:w="1559" w:type="dxa"/>
          </w:tcPr>
          <w:p w:rsidR="00324602" w:rsidRPr="005F469B" w:rsidRDefault="005F469B" w:rsidP="008E307C">
            <w:pPr>
              <w:jc w:val="center"/>
              <w:rPr>
                <w:rFonts w:cs="Arial"/>
                <w:szCs w:val="24"/>
              </w:rPr>
            </w:pPr>
            <w:r w:rsidRPr="005F469B">
              <w:rPr>
                <w:rFonts w:cs="Arial"/>
                <w:szCs w:val="24"/>
              </w:rPr>
              <w:t>250 (1,000)</w:t>
            </w:r>
          </w:p>
        </w:tc>
        <w:tc>
          <w:tcPr>
            <w:tcW w:w="1985" w:type="dxa"/>
          </w:tcPr>
          <w:p w:rsidR="00324602" w:rsidRPr="005F469B" w:rsidRDefault="005F469B" w:rsidP="008E307C">
            <w:pPr>
              <w:jc w:val="center"/>
              <w:rPr>
                <w:rFonts w:cs="Arial"/>
                <w:szCs w:val="24"/>
              </w:rPr>
            </w:pPr>
            <w:r w:rsidRPr="005F469B">
              <w:rPr>
                <w:rFonts w:cs="Arial"/>
                <w:szCs w:val="24"/>
              </w:rPr>
              <w:t>1,286</w:t>
            </w:r>
          </w:p>
        </w:tc>
        <w:tc>
          <w:tcPr>
            <w:tcW w:w="1417" w:type="dxa"/>
          </w:tcPr>
          <w:p w:rsidR="00324602" w:rsidRPr="005F469B" w:rsidRDefault="005F469B" w:rsidP="008E307C">
            <w:pPr>
              <w:jc w:val="center"/>
              <w:rPr>
                <w:rFonts w:cs="Arial"/>
                <w:szCs w:val="24"/>
              </w:rPr>
            </w:pPr>
            <w:r w:rsidRPr="005F469B">
              <w:rPr>
                <w:rFonts w:cs="Arial"/>
                <w:szCs w:val="24"/>
              </w:rPr>
              <w:t>347</w:t>
            </w:r>
          </w:p>
        </w:tc>
      </w:tr>
      <w:tr w:rsidR="004E3FA6" w:rsidRPr="005F469B" w:rsidTr="00177959">
        <w:tc>
          <w:tcPr>
            <w:tcW w:w="2977" w:type="dxa"/>
          </w:tcPr>
          <w:p w:rsidR="00324602" w:rsidRPr="005F469B" w:rsidRDefault="005F469B" w:rsidP="008E307C">
            <w:pPr>
              <w:rPr>
                <w:rFonts w:cs="Arial"/>
                <w:szCs w:val="24"/>
              </w:rPr>
            </w:pPr>
            <w:r w:rsidRPr="005F469B">
              <w:rPr>
                <w:rFonts w:cs="Arial"/>
                <w:szCs w:val="24"/>
              </w:rPr>
              <w:t>Shuttleworth College</w:t>
            </w:r>
          </w:p>
        </w:tc>
        <w:tc>
          <w:tcPr>
            <w:tcW w:w="1418" w:type="dxa"/>
          </w:tcPr>
          <w:p w:rsidR="00324602" w:rsidRPr="005F469B" w:rsidRDefault="005F469B" w:rsidP="008E307C">
            <w:pPr>
              <w:jc w:val="center"/>
              <w:rPr>
                <w:rFonts w:cs="Arial"/>
                <w:szCs w:val="24"/>
              </w:rPr>
            </w:pPr>
            <w:r w:rsidRPr="005F469B">
              <w:rPr>
                <w:rFonts w:cs="Arial"/>
                <w:szCs w:val="24"/>
              </w:rPr>
              <w:t>673</w:t>
            </w:r>
          </w:p>
        </w:tc>
        <w:tc>
          <w:tcPr>
            <w:tcW w:w="1559" w:type="dxa"/>
          </w:tcPr>
          <w:p w:rsidR="00324602" w:rsidRPr="005F469B" w:rsidRDefault="005F469B" w:rsidP="008E307C">
            <w:pPr>
              <w:jc w:val="center"/>
              <w:rPr>
                <w:rFonts w:cs="Arial"/>
                <w:szCs w:val="24"/>
              </w:rPr>
            </w:pPr>
            <w:r w:rsidRPr="005F469B">
              <w:rPr>
                <w:rFonts w:cs="Arial"/>
                <w:szCs w:val="24"/>
              </w:rPr>
              <w:t>210 (1,050)</w:t>
            </w:r>
          </w:p>
        </w:tc>
        <w:tc>
          <w:tcPr>
            <w:tcW w:w="1985" w:type="dxa"/>
          </w:tcPr>
          <w:p w:rsidR="00324602" w:rsidRPr="005F469B" w:rsidRDefault="005F469B" w:rsidP="008E307C">
            <w:pPr>
              <w:jc w:val="center"/>
              <w:rPr>
                <w:rFonts w:cs="Arial"/>
                <w:szCs w:val="24"/>
              </w:rPr>
            </w:pPr>
            <w:r w:rsidRPr="005F469B">
              <w:rPr>
                <w:rFonts w:cs="Arial"/>
                <w:szCs w:val="24"/>
              </w:rPr>
              <w:t>648</w:t>
            </w:r>
          </w:p>
        </w:tc>
        <w:tc>
          <w:tcPr>
            <w:tcW w:w="1417" w:type="dxa"/>
          </w:tcPr>
          <w:p w:rsidR="00324602" w:rsidRPr="005F469B" w:rsidRDefault="005F469B" w:rsidP="008E307C">
            <w:pPr>
              <w:jc w:val="center"/>
              <w:rPr>
                <w:rFonts w:cs="Arial"/>
                <w:szCs w:val="24"/>
              </w:rPr>
            </w:pPr>
            <w:r w:rsidRPr="005F469B">
              <w:rPr>
                <w:rFonts w:cs="Arial"/>
                <w:szCs w:val="24"/>
              </w:rPr>
              <w:t>87</w:t>
            </w:r>
          </w:p>
        </w:tc>
      </w:tr>
      <w:tr w:rsidR="004E3FA6" w:rsidRPr="005F469B" w:rsidTr="00177959">
        <w:tc>
          <w:tcPr>
            <w:tcW w:w="2977" w:type="dxa"/>
          </w:tcPr>
          <w:p w:rsidR="00E23060" w:rsidRPr="005F469B" w:rsidRDefault="005F469B" w:rsidP="008E307C">
            <w:pPr>
              <w:rPr>
                <w:rFonts w:cs="Arial"/>
                <w:szCs w:val="24"/>
              </w:rPr>
            </w:pPr>
            <w:r w:rsidRPr="005F469B">
              <w:rPr>
                <w:rFonts w:cs="Arial"/>
                <w:szCs w:val="24"/>
              </w:rPr>
              <w:t>Total</w:t>
            </w:r>
          </w:p>
        </w:tc>
        <w:tc>
          <w:tcPr>
            <w:tcW w:w="1418" w:type="dxa"/>
          </w:tcPr>
          <w:p w:rsidR="00E23060" w:rsidRPr="005F469B" w:rsidRDefault="005F469B" w:rsidP="008E307C">
            <w:pPr>
              <w:jc w:val="center"/>
              <w:rPr>
                <w:rFonts w:cs="Arial"/>
                <w:szCs w:val="24"/>
              </w:rPr>
            </w:pPr>
            <w:r w:rsidRPr="005F469B">
              <w:rPr>
                <w:rFonts w:cs="Arial"/>
                <w:szCs w:val="24"/>
              </w:rPr>
              <w:t>4585</w:t>
            </w:r>
          </w:p>
        </w:tc>
        <w:tc>
          <w:tcPr>
            <w:tcW w:w="1559" w:type="dxa"/>
          </w:tcPr>
          <w:p w:rsidR="00E23060" w:rsidRPr="005F469B" w:rsidRDefault="005F469B" w:rsidP="008E307C">
            <w:pPr>
              <w:jc w:val="center"/>
              <w:rPr>
                <w:rFonts w:cs="Arial"/>
                <w:szCs w:val="24"/>
              </w:rPr>
            </w:pPr>
            <w:r w:rsidRPr="005F469B">
              <w:rPr>
                <w:rFonts w:cs="Arial"/>
                <w:szCs w:val="24"/>
              </w:rPr>
              <w:t>1150 (5500)</w:t>
            </w:r>
          </w:p>
        </w:tc>
        <w:tc>
          <w:tcPr>
            <w:tcW w:w="1985" w:type="dxa"/>
          </w:tcPr>
          <w:p w:rsidR="00E23060" w:rsidRPr="005F469B" w:rsidRDefault="005F469B" w:rsidP="008E307C">
            <w:pPr>
              <w:jc w:val="center"/>
              <w:rPr>
                <w:rFonts w:cs="Arial"/>
                <w:szCs w:val="24"/>
              </w:rPr>
            </w:pPr>
            <w:r w:rsidRPr="005F469B">
              <w:rPr>
                <w:rFonts w:cs="Arial"/>
                <w:szCs w:val="24"/>
              </w:rPr>
              <w:t>4798</w:t>
            </w:r>
          </w:p>
        </w:tc>
        <w:tc>
          <w:tcPr>
            <w:tcW w:w="1417" w:type="dxa"/>
          </w:tcPr>
          <w:p w:rsidR="00E23060" w:rsidRPr="005F469B" w:rsidRDefault="005F469B" w:rsidP="008E307C">
            <w:pPr>
              <w:jc w:val="center"/>
              <w:rPr>
                <w:rFonts w:cs="Arial"/>
                <w:szCs w:val="24"/>
              </w:rPr>
            </w:pPr>
            <w:r w:rsidRPr="005F469B">
              <w:rPr>
                <w:rFonts w:cs="Arial"/>
                <w:szCs w:val="24"/>
              </w:rPr>
              <w:t>1038</w:t>
            </w:r>
          </w:p>
        </w:tc>
      </w:tr>
    </w:tbl>
    <w:p w:rsidR="00324602" w:rsidRPr="005F469B" w:rsidRDefault="005F469B" w:rsidP="00324602">
      <w:pPr>
        <w:rPr>
          <w:rFonts w:cs="Arial"/>
          <w:szCs w:val="24"/>
        </w:rPr>
      </w:pPr>
      <w:r w:rsidRPr="005F469B">
        <w:rPr>
          <w:rFonts w:cs="Arial"/>
          <w:szCs w:val="24"/>
        </w:rPr>
        <w:br/>
      </w:r>
      <w:r w:rsidRPr="005F469B">
        <w:rPr>
          <w:rFonts w:cs="Arial"/>
          <w:b/>
          <w:szCs w:val="24"/>
        </w:rPr>
        <w:t>Financial Viability</w:t>
      </w:r>
    </w:p>
    <w:p w:rsidR="00324602" w:rsidRPr="005F469B" w:rsidRDefault="005F469B" w:rsidP="00324602">
      <w:pPr>
        <w:rPr>
          <w:rFonts w:cs="Arial"/>
          <w:szCs w:val="24"/>
        </w:rPr>
      </w:pPr>
    </w:p>
    <w:p w:rsidR="00324602" w:rsidRPr="005F469B" w:rsidRDefault="005F469B" w:rsidP="00324602">
      <w:pPr>
        <w:rPr>
          <w:rFonts w:cs="Arial"/>
          <w:szCs w:val="24"/>
        </w:rPr>
      </w:pPr>
      <w:r w:rsidRPr="005F469B">
        <w:rPr>
          <w:rFonts w:cs="Arial"/>
          <w:szCs w:val="24"/>
        </w:rPr>
        <w:t xml:space="preserve">The school has been running a </w:t>
      </w:r>
      <w:r w:rsidRPr="005F469B">
        <w:rPr>
          <w:rFonts w:cs="Arial"/>
          <w:szCs w:val="24"/>
        </w:rPr>
        <w:t>large</w:t>
      </w:r>
      <w:r w:rsidRPr="005F469B">
        <w:rPr>
          <w:rFonts w:cs="Arial"/>
          <w:szCs w:val="24"/>
        </w:rPr>
        <w:t xml:space="preserve"> deficit for a number of years and</w:t>
      </w:r>
      <w:r w:rsidRPr="005F469B">
        <w:rPr>
          <w:rFonts w:cs="Arial"/>
          <w:szCs w:val="24"/>
        </w:rPr>
        <w:t xml:space="preserve"> a </w:t>
      </w:r>
      <w:r w:rsidRPr="005F469B">
        <w:rPr>
          <w:rFonts w:cs="Arial"/>
          <w:szCs w:val="24"/>
        </w:rPr>
        <w:t xml:space="preserve">significant </w:t>
      </w:r>
      <w:r w:rsidRPr="005F469B">
        <w:rPr>
          <w:rFonts w:cs="Arial"/>
          <w:szCs w:val="24"/>
        </w:rPr>
        <w:t xml:space="preserve">amount of </w:t>
      </w:r>
      <w:r w:rsidRPr="005F469B">
        <w:rPr>
          <w:rFonts w:cs="Arial"/>
          <w:szCs w:val="24"/>
        </w:rPr>
        <w:t xml:space="preserve">time and professional resources have been </w:t>
      </w:r>
      <w:r w:rsidRPr="005F469B">
        <w:rPr>
          <w:rFonts w:cs="Arial"/>
          <w:szCs w:val="24"/>
        </w:rPr>
        <w:t>allocated to this by the local a</w:t>
      </w:r>
      <w:r w:rsidRPr="005F469B">
        <w:rPr>
          <w:rFonts w:cs="Arial"/>
          <w:szCs w:val="24"/>
        </w:rPr>
        <w:t>uthority.  The table below sets out</w:t>
      </w:r>
      <w:r w:rsidRPr="005F469B">
        <w:rPr>
          <w:rFonts w:cs="Arial"/>
          <w:szCs w:val="24"/>
        </w:rPr>
        <w:t xml:space="preserve"> both </w:t>
      </w:r>
      <w:r w:rsidRPr="005F469B">
        <w:rPr>
          <w:rFonts w:cs="Arial"/>
          <w:szCs w:val="24"/>
        </w:rPr>
        <w:t xml:space="preserve">the cumulative and annual </w:t>
      </w:r>
      <w:r w:rsidRPr="005F469B">
        <w:rPr>
          <w:rFonts w:cs="Arial"/>
          <w:szCs w:val="24"/>
        </w:rPr>
        <w:t>deficit position.  It</w:t>
      </w:r>
      <w:r w:rsidRPr="005F469B">
        <w:rPr>
          <w:rFonts w:cs="Arial"/>
          <w:szCs w:val="24"/>
        </w:rPr>
        <w:t xml:space="preserve"> is the conclusion of the School Finance function that this deficit is not recoverable and </w:t>
      </w:r>
      <w:r w:rsidRPr="005F469B">
        <w:rPr>
          <w:rFonts w:cs="Arial"/>
          <w:szCs w:val="24"/>
        </w:rPr>
        <w:t xml:space="preserve">that </w:t>
      </w:r>
      <w:r w:rsidRPr="005F469B">
        <w:rPr>
          <w:rFonts w:cs="Arial"/>
          <w:szCs w:val="24"/>
        </w:rPr>
        <w:t>the school is no</w:t>
      </w:r>
      <w:r w:rsidRPr="005F469B">
        <w:rPr>
          <w:rFonts w:cs="Arial"/>
          <w:szCs w:val="24"/>
        </w:rPr>
        <w:t xml:space="preserve"> </w:t>
      </w:r>
      <w:r w:rsidRPr="005F469B">
        <w:rPr>
          <w:rFonts w:cs="Arial"/>
          <w:szCs w:val="24"/>
        </w:rPr>
        <w:t>longer financially viable.</w:t>
      </w:r>
    </w:p>
    <w:p w:rsidR="00324602" w:rsidRPr="005F469B" w:rsidRDefault="005F469B" w:rsidP="00324602">
      <w:pPr>
        <w:rPr>
          <w:rFonts w:cs="Arial"/>
          <w:szCs w:val="24"/>
        </w:rPr>
      </w:pPr>
    </w:p>
    <w:p w:rsidR="007139AF" w:rsidRPr="005F469B" w:rsidRDefault="005F469B" w:rsidP="00324602">
      <w:pPr>
        <w:rPr>
          <w:rFonts w:cs="Arial"/>
          <w:b/>
          <w:szCs w:val="24"/>
        </w:rPr>
      </w:pPr>
      <w:r w:rsidRPr="005F469B">
        <w:rPr>
          <w:rFonts w:cs="Arial"/>
          <w:b/>
          <w:szCs w:val="24"/>
        </w:rPr>
        <w:t>Table 2: Financial Position of Hameldon Community College</w:t>
      </w:r>
    </w:p>
    <w:p w:rsidR="007139AF" w:rsidRPr="005F469B" w:rsidRDefault="005F469B" w:rsidP="00324602">
      <w:pPr>
        <w:rPr>
          <w:rFonts w:cs="Arial"/>
          <w:szCs w:val="24"/>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53"/>
        <w:gridCol w:w="1685"/>
        <w:gridCol w:w="1686"/>
        <w:gridCol w:w="1686"/>
        <w:gridCol w:w="1686"/>
      </w:tblGrid>
      <w:tr w:rsidR="004E3FA6" w:rsidRPr="005F469B" w:rsidTr="007139AF">
        <w:tc>
          <w:tcPr>
            <w:tcW w:w="2253" w:type="dxa"/>
          </w:tcPr>
          <w:p w:rsidR="00324602" w:rsidRPr="005F469B" w:rsidRDefault="005F469B" w:rsidP="00381E75">
            <w:pPr>
              <w:jc w:val="both"/>
              <w:rPr>
                <w:rFonts w:cs="Arial"/>
                <w:szCs w:val="24"/>
              </w:rPr>
            </w:pPr>
          </w:p>
        </w:tc>
        <w:tc>
          <w:tcPr>
            <w:tcW w:w="1685" w:type="dxa"/>
          </w:tcPr>
          <w:p w:rsidR="00324602" w:rsidRPr="005F469B" w:rsidRDefault="005F469B" w:rsidP="00381E75">
            <w:pPr>
              <w:jc w:val="center"/>
              <w:rPr>
                <w:rFonts w:cs="Arial"/>
                <w:szCs w:val="24"/>
              </w:rPr>
            </w:pPr>
            <w:r w:rsidRPr="005F469B">
              <w:rPr>
                <w:rFonts w:cs="Arial"/>
                <w:szCs w:val="24"/>
              </w:rPr>
              <w:t>2014/15</w:t>
            </w:r>
          </w:p>
        </w:tc>
        <w:tc>
          <w:tcPr>
            <w:tcW w:w="1686" w:type="dxa"/>
          </w:tcPr>
          <w:p w:rsidR="00324602" w:rsidRPr="005F469B" w:rsidRDefault="005F469B" w:rsidP="00381E75">
            <w:pPr>
              <w:jc w:val="center"/>
              <w:rPr>
                <w:rFonts w:cs="Arial"/>
                <w:szCs w:val="24"/>
              </w:rPr>
            </w:pPr>
            <w:r w:rsidRPr="005F469B">
              <w:rPr>
                <w:rFonts w:cs="Arial"/>
                <w:szCs w:val="24"/>
              </w:rPr>
              <w:t>2015/16</w:t>
            </w:r>
          </w:p>
        </w:tc>
        <w:tc>
          <w:tcPr>
            <w:tcW w:w="1686" w:type="dxa"/>
          </w:tcPr>
          <w:p w:rsidR="00324602" w:rsidRPr="005F469B" w:rsidRDefault="005F469B" w:rsidP="00381E75">
            <w:pPr>
              <w:jc w:val="center"/>
              <w:rPr>
                <w:rFonts w:cs="Arial"/>
                <w:szCs w:val="24"/>
              </w:rPr>
            </w:pPr>
            <w:r w:rsidRPr="005F469B">
              <w:rPr>
                <w:rFonts w:cs="Arial"/>
                <w:szCs w:val="24"/>
              </w:rPr>
              <w:t>2016/17</w:t>
            </w:r>
          </w:p>
        </w:tc>
        <w:tc>
          <w:tcPr>
            <w:tcW w:w="1686" w:type="dxa"/>
          </w:tcPr>
          <w:p w:rsidR="00324602" w:rsidRPr="005F469B" w:rsidRDefault="005F469B" w:rsidP="00381E75">
            <w:pPr>
              <w:jc w:val="center"/>
              <w:rPr>
                <w:rFonts w:cs="Arial"/>
                <w:szCs w:val="24"/>
              </w:rPr>
            </w:pPr>
            <w:r w:rsidRPr="005F469B">
              <w:rPr>
                <w:rFonts w:cs="Arial"/>
                <w:szCs w:val="24"/>
              </w:rPr>
              <w:t>2017/18</w:t>
            </w:r>
          </w:p>
        </w:tc>
      </w:tr>
      <w:tr w:rsidR="004E3FA6" w:rsidRPr="005F469B" w:rsidTr="007139AF">
        <w:tc>
          <w:tcPr>
            <w:tcW w:w="2253" w:type="dxa"/>
          </w:tcPr>
          <w:p w:rsidR="00324602" w:rsidRPr="005F469B" w:rsidRDefault="005F469B" w:rsidP="00381E75">
            <w:pPr>
              <w:jc w:val="both"/>
              <w:rPr>
                <w:rFonts w:cs="Arial"/>
                <w:szCs w:val="24"/>
              </w:rPr>
            </w:pPr>
            <w:r w:rsidRPr="005F469B">
              <w:rPr>
                <w:rFonts w:cs="Arial"/>
                <w:szCs w:val="24"/>
              </w:rPr>
              <w:t>NOR</w:t>
            </w:r>
          </w:p>
        </w:tc>
        <w:tc>
          <w:tcPr>
            <w:tcW w:w="1685" w:type="dxa"/>
          </w:tcPr>
          <w:p w:rsidR="00324602" w:rsidRPr="005F469B" w:rsidRDefault="005F469B" w:rsidP="00381E75">
            <w:pPr>
              <w:jc w:val="center"/>
              <w:rPr>
                <w:rFonts w:cs="Arial"/>
                <w:szCs w:val="24"/>
              </w:rPr>
            </w:pPr>
            <w:r w:rsidRPr="005F469B">
              <w:rPr>
                <w:rFonts w:cs="Arial"/>
                <w:szCs w:val="24"/>
              </w:rPr>
              <w:t>305</w:t>
            </w:r>
          </w:p>
        </w:tc>
        <w:tc>
          <w:tcPr>
            <w:tcW w:w="1686" w:type="dxa"/>
          </w:tcPr>
          <w:p w:rsidR="00324602" w:rsidRPr="005F469B" w:rsidRDefault="005F469B" w:rsidP="00381E75">
            <w:pPr>
              <w:jc w:val="center"/>
              <w:rPr>
                <w:rFonts w:cs="Arial"/>
                <w:szCs w:val="24"/>
              </w:rPr>
            </w:pPr>
            <w:r w:rsidRPr="005F469B">
              <w:rPr>
                <w:rFonts w:cs="Arial"/>
                <w:szCs w:val="24"/>
              </w:rPr>
              <w:t>321</w:t>
            </w:r>
          </w:p>
        </w:tc>
        <w:tc>
          <w:tcPr>
            <w:tcW w:w="1686" w:type="dxa"/>
          </w:tcPr>
          <w:p w:rsidR="00324602" w:rsidRPr="005F469B" w:rsidRDefault="005F469B" w:rsidP="00381E75">
            <w:pPr>
              <w:jc w:val="center"/>
              <w:rPr>
                <w:rFonts w:cs="Arial"/>
                <w:szCs w:val="24"/>
              </w:rPr>
            </w:pPr>
            <w:r w:rsidRPr="005F469B">
              <w:rPr>
                <w:rFonts w:cs="Arial"/>
                <w:szCs w:val="24"/>
              </w:rPr>
              <w:t>269</w:t>
            </w:r>
          </w:p>
        </w:tc>
        <w:tc>
          <w:tcPr>
            <w:tcW w:w="1686" w:type="dxa"/>
          </w:tcPr>
          <w:p w:rsidR="00324602" w:rsidRPr="005F469B" w:rsidRDefault="005F469B" w:rsidP="00381E75">
            <w:pPr>
              <w:jc w:val="center"/>
              <w:rPr>
                <w:rFonts w:cs="Arial"/>
                <w:szCs w:val="24"/>
              </w:rPr>
            </w:pPr>
            <w:r w:rsidRPr="005F469B">
              <w:rPr>
                <w:rFonts w:cs="Arial"/>
                <w:szCs w:val="24"/>
              </w:rPr>
              <w:t>281</w:t>
            </w:r>
          </w:p>
        </w:tc>
      </w:tr>
      <w:tr w:rsidR="004E3FA6" w:rsidRPr="005F469B" w:rsidTr="007139AF">
        <w:tc>
          <w:tcPr>
            <w:tcW w:w="2253" w:type="dxa"/>
          </w:tcPr>
          <w:p w:rsidR="00627DB1" w:rsidRPr="005F469B" w:rsidRDefault="005F469B" w:rsidP="00627DB1">
            <w:pPr>
              <w:rPr>
                <w:rFonts w:cs="Arial"/>
                <w:szCs w:val="24"/>
              </w:rPr>
            </w:pPr>
            <w:r w:rsidRPr="005F469B">
              <w:rPr>
                <w:rFonts w:cs="Arial"/>
                <w:szCs w:val="24"/>
              </w:rPr>
              <w:t>Annual Deficit Position</w:t>
            </w:r>
          </w:p>
        </w:tc>
        <w:tc>
          <w:tcPr>
            <w:tcW w:w="1685" w:type="dxa"/>
          </w:tcPr>
          <w:p w:rsidR="00627DB1" w:rsidRPr="005F469B" w:rsidRDefault="005F469B" w:rsidP="00627DB1">
            <w:pPr>
              <w:jc w:val="center"/>
              <w:rPr>
                <w:rFonts w:cs="Arial"/>
                <w:szCs w:val="24"/>
              </w:rPr>
            </w:pPr>
            <w:r w:rsidRPr="005F469B">
              <w:rPr>
                <w:rFonts w:cs="Arial"/>
                <w:szCs w:val="24"/>
              </w:rPr>
              <w:t>-£0.53M</w:t>
            </w:r>
          </w:p>
        </w:tc>
        <w:tc>
          <w:tcPr>
            <w:tcW w:w="1686" w:type="dxa"/>
          </w:tcPr>
          <w:p w:rsidR="00627DB1" w:rsidRPr="005F469B" w:rsidRDefault="005F469B" w:rsidP="00627DB1">
            <w:pPr>
              <w:jc w:val="center"/>
              <w:rPr>
                <w:rFonts w:cs="Arial"/>
                <w:szCs w:val="24"/>
              </w:rPr>
            </w:pPr>
            <w:r w:rsidRPr="005F469B">
              <w:rPr>
                <w:rFonts w:cs="Arial"/>
                <w:szCs w:val="24"/>
              </w:rPr>
              <w:t>£0.02M</w:t>
            </w:r>
          </w:p>
        </w:tc>
        <w:tc>
          <w:tcPr>
            <w:tcW w:w="1686" w:type="dxa"/>
          </w:tcPr>
          <w:p w:rsidR="00627DB1" w:rsidRPr="005F469B" w:rsidRDefault="005F469B" w:rsidP="00627DB1">
            <w:pPr>
              <w:jc w:val="center"/>
              <w:rPr>
                <w:rFonts w:cs="Arial"/>
                <w:szCs w:val="24"/>
              </w:rPr>
            </w:pPr>
            <w:r w:rsidRPr="005F469B">
              <w:rPr>
                <w:rFonts w:cs="Arial"/>
                <w:szCs w:val="24"/>
              </w:rPr>
              <w:t>-£0.28M</w:t>
            </w:r>
          </w:p>
        </w:tc>
        <w:tc>
          <w:tcPr>
            <w:tcW w:w="1686" w:type="dxa"/>
          </w:tcPr>
          <w:p w:rsidR="00627DB1" w:rsidRPr="005F469B" w:rsidRDefault="005F469B" w:rsidP="00627DB1">
            <w:pPr>
              <w:jc w:val="center"/>
              <w:rPr>
                <w:rFonts w:cs="Arial"/>
                <w:szCs w:val="24"/>
              </w:rPr>
            </w:pPr>
            <w:r w:rsidRPr="005F469B">
              <w:rPr>
                <w:rFonts w:cs="Arial"/>
                <w:szCs w:val="24"/>
              </w:rPr>
              <w:t>-£0.33M</w:t>
            </w:r>
          </w:p>
        </w:tc>
      </w:tr>
      <w:tr w:rsidR="004E3FA6" w:rsidRPr="005F469B" w:rsidTr="007139AF">
        <w:tc>
          <w:tcPr>
            <w:tcW w:w="2253" w:type="dxa"/>
          </w:tcPr>
          <w:p w:rsidR="00627DB1" w:rsidRPr="005F469B" w:rsidRDefault="005F469B" w:rsidP="00627DB1">
            <w:pPr>
              <w:jc w:val="both"/>
              <w:rPr>
                <w:rFonts w:cs="Arial"/>
                <w:szCs w:val="24"/>
              </w:rPr>
            </w:pPr>
            <w:r w:rsidRPr="005F469B">
              <w:rPr>
                <w:rFonts w:cs="Arial"/>
                <w:szCs w:val="24"/>
              </w:rPr>
              <w:t xml:space="preserve">Cumulative </w:t>
            </w:r>
            <w:r w:rsidRPr="005F469B">
              <w:rPr>
                <w:rFonts w:cs="Arial"/>
                <w:szCs w:val="24"/>
              </w:rPr>
              <w:t>Outturn Balances</w:t>
            </w:r>
          </w:p>
        </w:tc>
        <w:tc>
          <w:tcPr>
            <w:tcW w:w="1685" w:type="dxa"/>
          </w:tcPr>
          <w:p w:rsidR="00627DB1" w:rsidRPr="005F469B" w:rsidRDefault="005F469B" w:rsidP="00627DB1">
            <w:pPr>
              <w:jc w:val="center"/>
              <w:rPr>
                <w:rFonts w:cs="Arial"/>
                <w:szCs w:val="24"/>
              </w:rPr>
            </w:pPr>
            <w:r w:rsidRPr="005F469B">
              <w:rPr>
                <w:rFonts w:cs="Arial"/>
                <w:szCs w:val="24"/>
              </w:rPr>
              <w:t>-£1.95M</w:t>
            </w:r>
          </w:p>
        </w:tc>
        <w:tc>
          <w:tcPr>
            <w:tcW w:w="1686" w:type="dxa"/>
          </w:tcPr>
          <w:p w:rsidR="00627DB1" w:rsidRPr="005F469B" w:rsidRDefault="005F469B" w:rsidP="00627DB1">
            <w:pPr>
              <w:jc w:val="center"/>
              <w:rPr>
                <w:rFonts w:cs="Arial"/>
                <w:szCs w:val="24"/>
              </w:rPr>
            </w:pPr>
            <w:r w:rsidRPr="005F469B">
              <w:rPr>
                <w:rFonts w:cs="Arial"/>
                <w:szCs w:val="24"/>
              </w:rPr>
              <w:t>-£1.93M</w:t>
            </w:r>
          </w:p>
        </w:tc>
        <w:tc>
          <w:tcPr>
            <w:tcW w:w="1686" w:type="dxa"/>
          </w:tcPr>
          <w:p w:rsidR="00627DB1" w:rsidRPr="005F469B" w:rsidRDefault="005F469B" w:rsidP="00627DB1">
            <w:pPr>
              <w:jc w:val="center"/>
              <w:rPr>
                <w:rFonts w:cs="Arial"/>
                <w:szCs w:val="24"/>
              </w:rPr>
            </w:pPr>
            <w:r w:rsidRPr="005F469B">
              <w:rPr>
                <w:rFonts w:cs="Arial"/>
                <w:szCs w:val="24"/>
              </w:rPr>
              <w:t>-£2.</w:t>
            </w:r>
            <w:r w:rsidRPr="005F469B">
              <w:rPr>
                <w:rFonts w:cs="Arial"/>
                <w:szCs w:val="24"/>
              </w:rPr>
              <w:t>21</w:t>
            </w:r>
            <w:r w:rsidRPr="005F469B">
              <w:rPr>
                <w:rFonts w:cs="Arial"/>
                <w:szCs w:val="24"/>
              </w:rPr>
              <w:t>M*</w:t>
            </w:r>
          </w:p>
        </w:tc>
        <w:tc>
          <w:tcPr>
            <w:tcW w:w="1686" w:type="dxa"/>
          </w:tcPr>
          <w:p w:rsidR="00627DB1" w:rsidRPr="005F469B" w:rsidRDefault="005F469B" w:rsidP="00627DB1">
            <w:pPr>
              <w:jc w:val="center"/>
              <w:rPr>
                <w:rFonts w:cs="Arial"/>
                <w:szCs w:val="24"/>
              </w:rPr>
            </w:pPr>
            <w:r w:rsidRPr="005F469B">
              <w:rPr>
                <w:rFonts w:cs="Arial"/>
                <w:szCs w:val="24"/>
              </w:rPr>
              <w:t>-£2.</w:t>
            </w:r>
            <w:r w:rsidRPr="005F469B">
              <w:rPr>
                <w:rFonts w:cs="Arial"/>
                <w:szCs w:val="24"/>
              </w:rPr>
              <w:t>54</w:t>
            </w:r>
            <w:r w:rsidRPr="005F469B">
              <w:rPr>
                <w:rFonts w:cs="Arial"/>
                <w:szCs w:val="24"/>
              </w:rPr>
              <w:t>M**</w:t>
            </w:r>
          </w:p>
        </w:tc>
      </w:tr>
    </w:tbl>
    <w:p w:rsidR="00324602" w:rsidRPr="005F469B" w:rsidRDefault="005F469B" w:rsidP="00324602">
      <w:pPr>
        <w:jc w:val="both"/>
        <w:rPr>
          <w:rFonts w:cs="Arial"/>
          <w:szCs w:val="24"/>
        </w:rPr>
      </w:pPr>
      <w:r w:rsidRPr="005F469B">
        <w:rPr>
          <w:rFonts w:cs="Arial"/>
          <w:szCs w:val="24"/>
        </w:rPr>
        <w:t>*estimate, **forecast</w:t>
      </w:r>
    </w:p>
    <w:p w:rsidR="00324602" w:rsidRPr="005F469B" w:rsidRDefault="005F469B" w:rsidP="00324602">
      <w:pPr>
        <w:jc w:val="both"/>
        <w:rPr>
          <w:rFonts w:cs="Arial"/>
          <w:szCs w:val="24"/>
        </w:rPr>
      </w:pPr>
    </w:p>
    <w:p w:rsidR="008C603A" w:rsidRPr="005F469B" w:rsidRDefault="005F469B" w:rsidP="008C603A">
      <w:pPr>
        <w:rPr>
          <w:rFonts w:cs="Arial"/>
          <w:szCs w:val="24"/>
        </w:rPr>
      </w:pPr>
      <w:r w:rsidRPr="005F469B">
        <w:rPr>
          <w:rFonts w:cs="Arial"/>
          <w:szCs w:val="24"/>
        </w:rPr>
        <w:t xml:space="preserve">In addition to the table above, </w:t>
      </w:r>
      <w:r w:rsidRPr="005F469B">
        <w:rPr>
          <w:rFonts w:cs="Arial"/>
          <w:szCs w:val="24"/>
        </w:rPr>
        <w:t xml:space="preserve">based on information supplied by the school, the </w:t>
      </w:r>
      <w:r w:rsidRPr="005F469B">
        <w:rPr>
          <w:rFonts w:cs="Arial"/>
          <w:szCs w:val="24"/>
        </w:rPr>
        <w:t xml:space="preserve">School Finance function has </w:t>
      </w:r>
      <w:r w:rsidRPr="005F469B">
        <w:rPr>
          <w:rFonts w:cs="Arial"/>
          <w:szCs w:val="24"/>
        </w:rPr>
        <w:t>forecast further annual deficit positions of -£0.56M for 2018/19 and -£0.74M for 2019/2020 and cumulative deficit positions of -£3.1M for 2018/19 and -£3.84M for 2019/2020.</w:t>
      </w:r>
    </w:p>
    <w:p w:rsidR="008C603A" w:rsidRPr="005F469B" w:rsidRDefault="005F469B" w:rsidP="008C603A">
      <w:pPr>
        <w:rPr>
          <w:rFonts w:cs="Arial"/>
          <w:szCs w:val="24"/>
        </w:rPr>
      </w:pPr>
    </w:p>
    <w:p w:rsidR="00324602" w:rsidRPr="005F469B" w:rsidRDefault="005F469B" w:rsidP="00324602">
      <w:pPr>
        <w:rPr>
          <w:rFonts w:cs="Arial"/>
          <w:szCs w:val="24"/>
        </w:rPr>
      </w:pPr>
      <w:r w:rsidRPr="005F469B">
        <w:rPr>
          <w:rFonts w:cs="Arial"/>
          <w:szCs w:val="24"/>
        </w:rPr>
        <w:t xml:space="preserve">As Hameldon </w:t>
      </w:r>
      <w:r w:rsidRPr="005F469B">
        <w:rPr>
          <w:rFonts w:cs="Arial"/>
          <w:szCs w:val="24"/>
        </w:rPr>
        <w:t xml:space="preserve">Community College </w:t>
      </w:r>
      <w:r w:rsidRPr="005F469B">
        <w:rPr>
          <w:rFonts w:cs="Arial"/>
          <w:szCs w:val="24"/>
        </w:rPr>
        <w:t>was opened as a part of the Building Schools for the</w:t>
      </w:r>
      <w:r w:rsidRPr="005F469B">
        <w:rPr>
          <w:rFonts w:cs="Arial"/>
          <w:szCs w:val="24"/>
        </w:rPr>
        <w:t xml:space="preserve"> Future Initiative, a contract exists with the PFI partner which would leave the authority with an ongoing financial commitment in the order of £1.7 million per annum </w:t>
      </w:r>
      <w:r w:rsidRPr="005F469B">
        <w:rPr>
          <w:rFonts w:cs="Arial"/>
          <w:szCs w:val="24"/>
        </w:rPr>
        <w:t xml:space="preserve">towards the total annual cost </w:t>
      </w:r>
      <w:r w:rsidRPr="005F469B">
        <w:rPr>
          <w:rFonts w:cs="Arial"/>
          <w:szCs w:val="24"/>
        </w:rPr>
        <w:t>over the next 19 years if the school were</w:t>
      </w:r>
      <w:r w:rsidRPr="005F469B">
        <w:rPr>
          <w:rFonts w:cs="Arial"/>
          <w:szCs w:val="24"/>
        </w:rPr>
        <w:t xml:space="preserve"> to be</w:t>
      </w:r>
      <w:r w:rsidRPr="005F469B">
        <w:rPr>
          <w:rFonts w:cs="Arial"/>
          <w:szCs w:val="24"/>
        </w:rPr>
        <w:t xml:space="preserve"> closed</w:t>
      </w:r>
      <w:r w:rsidRPr="005F469B">
        <w:rPr>
          <w:rFonts w:cs="Arial"/>
          <w:szCs w:val="24"/>
        </w:rPr>
        <w:t>.  Th</w:t>
      </w:r>
      <w:r w:rsidRPr="005F469B">
        <w:rPr>
          <w:rFonts w:cs="Arial"/>
          <w:szCs w:val="24"/>
        </w:rPr>
        <w:t>is would total £</w:t>
      </w:r>
      <w:r w:rsidRPr="005F469B">
        <w:rPr>
          <w:rFonts w:cs="Arial"/>
          <w:szCs w:val="24"/>
        </w:rPr>
        <w:t>40</w:t>
      </w:r>
      <w:r w:rsidRPr="005F469B">
        <w:rPr>
          <w:rFonts w:cs="Arial"/>
          <w:szCs w:val="24"/>
        </w:rPr>
        <w:t xml:space="preserve"> million.</w:t>
      </w:r>
    </w:p>
    <w:p w:rsidR="00324602" w:rsidRPr="005F469B" w:rsidRDefault="005F469B" w:rsidP="00324602">
      <w:pPr>
        <w:rPr>
          <w:rFonts w:cs="Arial"/>
          <w:szCs w:val="24"/>
        </w:rPr>
      </w:pPr>
    </w:p>
    <w:p w:rsidR="00324602" w:rsidRPr="005F469B" w:rsidRDefault="005F469B" w:rsidP="00324602">
      <w:pPr>
        <w:rPr>
          <w:rFonts w:cs="Arial"/>
          <w:szCs w:val="24"/>
        </w:rPr>
      </w:pPr>
      <w:r w:rsidRPr="005F469B">
        <w:rPr>
          <w:rFonts w:cs="Arial"/>
          <w:szCs w:val="24"/>
        </w:rPr>
        <w:lastRenderedPageBreak/>
        <w:t xml:space="preserve">Bearing in mind the need for future secondary places, were </w:t>
      </w:r>
      <w:r w:rsidRPr="005F469B">
        <w:rPr>
          <w:rFonts w:cs="Arial"/>
          <w:szCs w:val="24"/>
        </w:rPr>
        <w:t>the school</w:t>
      </w:r>
      <w:r w:rsidRPr="005F469B">
        <w:rPr>
          <w:rFonts w:cs="Arial"/>
          <w:szCs w:val="24"/>
        </w:rPr>
        <w:t xml:space="preserve"> to close</w:t>
      </w:r>
      <w:r w:rsidRPr="005F469B">
        <w:rPr>
          <w:rFonts w:cs="Arial"/>
          <w:szCs w:val="24"/>
        </w:rPr>
        <w:t>,</w:t>
      </w:r>
      <w:r w:rsidRPr="005F469B">
        <w:rPr>
          <w:rFonts w:cs="Arial"/>
          <w:szCs w:val="24"/>
        </w:rPr>
        <w:t xml:space="preserve"> it would be necessary to identify </w:t>
      </w:r>
      <w:r w:rsidRPr="005F469B">
        <w:rPr>
          <w:rFonts w:cs="Arial"/>
          <w:szCs w:val="24"/>
        </w:rPr>
        <w:t xml:space="preserve">a </w:t>
      </w:r>
      <w:r w:rsidRPr="005F469B">
        <w:rPr>
          <w:rFonts w:cs="Arial"/>
          <w:szCs w:val="24"/>
        </w:rPr>
        <w:t>continued use for the site</w:t>
      </w:r>
      <w:r w:rsidRPr="005F469B">
        <w:rPr>
          <w:rFonts w:cs="Arial"/>
          <w:szCs w:val="24"/>
        </w:rPr>
        <w:t xml:space="preserve">, including educational use which is of high quality, such as </w:t>
      </w:r>
      <w:r w:rsidRPr="005F469B">
        <w:rPr>
          <w:rFonts w:cs="Arial"/>
          <w:szCs w:val="24"/>
        </w:rPr>
        <w:t xml:space="preserve">allowing another local </w:t>
      </w:r>
      <w:r w:rsidRPr="005F469B">
        <w:rPr>
          <w:rFonts w:cs="Arial"/>
          <w:szCs w:val="24"/>
        </w:rPr>
        <w:t>school to take ownership of and expand onto the site.</w:t>
      </w:r>
      <w:r w:rsidRPr="005F469B">
        <w:rPr>
          <w:rFonts w:cs="Arial"/>
          <w:szCs w:val="24"/>
        </w:rPr>
        <w:t xml:space="preserve">  </w:t>
      </w:r>
      <w:bookmarkStart w:id="0" w:name="_GoBack"/>
      <w:bookmarkEnd w:id="0"/>
    </w:p>
    <w:sectPr w:rsidR="00324602" w:rsidRPr="005F46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0E5D1B"/>
    <w:multiLevelType w:val="multilevel"/>
    <w:tmpl w:val="4B929542"/>
    <w:lvl w:ilvl="0">
      <w:start w:val="1"/>
      <w:numFmt w:val="decimal"/>
      <w:pStyle w:val="N1"/>
      <w:suff w:val="nothing"/>
      <w:lvlText w:val="%1."/>
      <w:lvlJc w:val="left"/>
      <w:pPr>
        <w:ind w:left="1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27"/>
      <w:numFmt w:val="lowerLetter"/>
      <w:pStyle w:val="N4"/>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A6"/>
    <w:rsid w:val="004E3FA6"/>
    <w:rsid w:val="005F4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F665F0-818D-4469-97B7-9F95C7057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457A"/>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
    <w:name w:val="N1"/>
    <w:basedOn w:val="Normal"/>
    <w:next w:val="N2"/>
    <w:rsid w:val="00D4457A"/>
    <w:pPr>
      <w:numPr>
        <w:numId w:val="1"/>
      </w:numPr>
      <w:spacing w:before="160" w:line="220" w:lineRule="atLeast"/>
      <w:jc w:val="both"/>
    </w:pPr>
    <w:rPr>
      <w:rFonts w:ascii="Times New Roman" w:hAnsi="Times New Roman"/>
      <w:sz w:val="21"/>
      <w:lang w:eastAsia="en-US"/>
    </w:rPr>
  </w:style>
  <w:style w:type="paragraph" w:customStyle="1" w:styleId="N2">
    <w:name w:val="N2"/>
    <w:basedOn w:val="N1"/>
    <w:link w:val="N2Char"/>
    <w:rsid w:val="00D4457A"/>
    <w:pPr>
      <w:numPr>
        <w:ilvl w:val="1"/>
      </w:numPr>
      <w:tabs>
        <w:tab w:val="num" w:pos="1440"/>
      </w:tabs>
      <w:spacing w:before="80"/>
      <w:ind w:left="1440" w:hanging="720"/>
    </w:pPr>
  </w:style>
  <w:style w:type="character" w:customStyle="1" w:styleId="N2Char">
    <w:name w:val="N2 Char"/>
    <w:link w:val="N2"/>
    <w:locked/>
    <w:rsid w:val="00D4457A"/>
    <w:rPr>
      <w:rFonts w:ascii="Times New Roman" w:eastAsia="Times New Roman" w:hAnsi="Times New Roman" w:cs="Times New Roman"/>
      <w:sz w:val="21"/>
      <w:szCs w:val="20"/>
    </w:rPr>
  </w:style>
  <w:style w:type="paragraph" w:customStyle="1" w:styleId="N3">
    <w:name w:val="N3"/>
    <w:basedOn w:val="N2"/>
    <w:rsid w:val="00D4457A"/>
    <w:pPr>
      <w:numPr>
        <w:ilvl w:val="2"/>
      </w:numPr>
      <w:tabs>
        <w:tab w:val="clear" w:pos="737"/>
        <w:tab w:val="num" w:pos="360"/>
        <w:tab w:val="num" w:pos="2160"/>
      </w:tabs>
      <w:ind w:left="2160" w:hanging="720"/>
    </w:pPr>
  </w:style>
  <w:style w:type="paragraph" w:customStyle="1" w:styleId="N4">
    <w:name w:val="N4"/>
    <w:basedOn w:val="N3"/>
    <w:rsid w:val="00D4457A"/>
    <w:pPr>
      <w:numPr>
        <w:ilvl w:val="4"/>
      </w:numPr>
      <w:tabs>
        <w:tab w:val="clear" w:pos="1701"/>
        <w:tab w:val="num" w:pos="360"/>
        <w:tab w:val="num" w:pos="2880"/>
      </w:tabs>
      <w:ind w:left="2880" w:hanging="720"/>
    </w:pPr>
  </w:style>
  <w:style w:type="table" w:styleId="TableGrid">
    <w:name w:val="Table Grid"/>
    <w:basedOn w:val="TableNormal"/>
    <w:uiPriority w:val="39"/>
    <w:rsid w:val="003246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00D6"/>
    <w:rPr>
      <w:sz w:val="16"/>
      <w:szCs w:val="16"/>
    </w:rPr>
  </w:style>
  <w:style w:type="paragraph" w:styleId="CommentText">
    <w:name w:val="annotation text"/>
    <w:basedOn w:val="Normal"/>
    <w:link w:val="CommentTextChar"/>
    <w:uiPriority w:val="99"/>
    <w:semiHidden/>
    <w:unhideWhenUsed/>
    <w:rsid w:val="009400D6"/>
    <w:rPr>
      <w:sz w:val="20"/>
    </w:rPr>
  </w:style>
  <w:style w:type="character" w:customStyle="1" w:styleId="CommentTextChar">
    <w:name w:val="Comment Text Char"/>
    <w:basedOn w:val="DefaultParagraphFont"/>
    <w:link w:val="CommentText"/>
    <w:uiPriority w:val="99"/>
    <w:semiHidden/>
    <w:rsid w:val="009400D6"/>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00D6"/>
    <w:rPr>
      <w:b/>
      <w:bCs/>
    </w:rPr>
  </w:style>
  <w:style w:type="character" w:customStyle="1" w:styleId="CommentSubjectChar">
    <w:name w:val="Comment Subject Char"/>
    <w:basedOn w:val="CommentTextChar"/>
    <w:link w:val="CommentSubject"/>
    <w:uiPriority w:val="99"/>
    <w:semiHidden/>
    <w:rsid w:val="009400D6"/>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9400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0D6"/>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5</Pages>
  <Words>1705</Words>
  <Characters>9723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Hirst, Sarah (CYP)</dc:creator>
  <cp:lastModifiedBy>Evenson, Maya</cp:lastModifiedBy>
  <cp:revision>25</cp:revision>
  <dcterms:created xsi:type="dcterms:W3CDTF">2017-06-21T09:07:00Z</dcterms:created>
  <dcterms:modified xsi:type="dcterms:W3CDTF">2017-07-24T09:27:00Z</dcterms:modified>
</cp:coreProperties>
</file>